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C905" w14:textId="6D7361AE" w:rsidR="00D5547E" w:rsidRPr="009E51FC" w:rsidRDefault="0006230D" w:rsidP="0006230D">
      <w:pPr>
        <w:jc w:val="right"/>
      </w:pPr>
      <w:r>
        <w:rPr>
          <w:noProof/>
        </w:rPr>
        <w:drawing>
          <wp:inline distT="0" distB="0" distL="0" distR="0" wp14:anchorId="7E773403" wp14:editId="3E135532">
            <wp:extent cx="941070" cy="1264285"/>
            <wp:effectExtent l="0" t="0" r="0" b="0"/>
            <wp:docPr id="2" name="Picture 2" title="Oxford City Council logo"/>
            <wp:cNvGraphicFramePr/>
            <a:graphic xmlns:a="http://schemas.openxmlformats.org/drawingml/2006/main">
              <a:graphicData uri="http://schemas.openxmlformats.org/drawingml/2006/picture">
                <pic:pic xmlns:pic="http://schemas.openxmlformats.org/drawingml/2006/picture">
                  <pic:nvPicPr>
                    <pic:cNvPr id="2" name="Picture 2" title="Oxford City Council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E46AEC" w14:paraId="6B22DD74" w14:textId="77777777" w:rsidTr="005F7F7E">
        <w:tc>
          <w:tcPr>
            <w:tcW w:w="2438" w:type="dxa"/>
            <w:shd w:val="clear" w:color="auto" w:fill="auto"/>
          </w:tcPr>
          <w:p w14:paraId="699AA3AC" w14:textId="77777777"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14:paraId="6C85FC09" w14:textId="77777777" w:rsidR="00F445B1" w:rsidRPr="00B93B22" w:rsidRDefault="00F445B1" w:rsidP="004A6D2F">
            <w:pPr>
              <w:rPr>
                <w:rStyle w:val="Firstpagetablebold"/>
              </w:rPr>
            </w:pPr>
            <w:r w:rsidRPr="00B93B22">
              <w:rPr>
                <w:rStyle w:val="Firstpagetablebold"/>
              </w:rPr>
              <w:t>C</w:t>
            </w:r>
            <w:r w:rsidR="0008659B" w:rsidRPr="00B93B22">
              <w:rPr>
                <w:rStyle w:val="Firstpagetablebold"/>
              </w:rPr>
              <w:t>abinet</w:t>
            </w:r>
          </w:p>
        </w:tc>
      </w:tr>
      <w:tr w:rsidR="00CE544A" w:rsidRPr="00E46AEC" w14:paraId="1EFA9924" w14:textId="77777777" w:rsidTr="005F7F7E">
        <w:tc>
          <w:tcPr>
            <w:tcW w:w="2438" w:type="dxa"/>
            <w:shd w:val="clear" w:color="auto" w:fill="auto"/>
          </w:tcPr>
          <w:p w14:paraId="33969278" w14:textId="77777777"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14:paraId="327DCBA7" w14:textId="08707980" w:rsidR="00F445B1" w:rsidRPr="00E46AEC" w:rsidRDefault="005C6DF0" w:rsidP="005D0621">
            <w:pPr>
              <w:rPr>
                <w:b/>
                <w:highlight w:val="yellow"/>
              </w:rPr>
            </w:pPr>
            <w:r>
              <w:rPr>
                <w:rStyle w:val="Firstpagetablebold"/>
              </w:rPr>
              <w:t>10 Febr</w:t>
            </w:r>
            <w:r w:rsidR="00BE1987" w:rsidRPr="00FC29A6">
              <w:rPr>
                <w:rStyle w:val="Firstpagetablebold"/>
              </w:rPr>
              <w:t>uary 20</w:t>
            </w:r>
            <w:r w:rsidR="00DC5161" w:rsidRPr="00FC29A6">
              <w:rPr>
                <w:rStyle w:val="Firstpagetablebold"/>
              </w:rPr>
              <w:t>2</w:t>
            </w:r>
            <w:r w:rsidR="00FC29A6" w:rsidRPr="00FC29A6">
              <w:rPr>
                <w:rStyle w:val="Firstpagetablebold"/>
              </w:rPr>
              <w:t>1</w:t>
            </w:r>
          </w:p>
        </w:tc>
      </w:tr>
      <w:tr w:rsidR="00CE544A" w:rsidRPr="00E46AEC" w14:paraId="357F47E8" w14:textId="77777777" w:rsidTr="005F7F7E">
        <w:tc>
          <w:tcPr>
            <w:tcW w:w="2438" w:type="dxa"/>
            <w:shd w:val="clear" w:color="auto" w:fill="auto"/>
          </w:tcPr>
          <w:p w14:paraId="0ED1BAE5" w14:textId="77777777"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14:paraId="1EFB9B3D" w14:textId="77777777" w:rsidR="00F445B1" w:rsidRPr="00B93B22" w:rsidRDefault="00BE1987" w:rsidP="00051428">
            <w:pPr>
              <w:rPr>
                <w:rStyle w:val="Firstpagetablebold"/>
              </w:rPr>
            </w:pPr>
            <w:r w:rsidRPr="00B93B22">
              <w:rPr>
                <w:rStyle w:val="Firstpagetablebold"/>
              </w:rPr>
              <w:t>Head of Financial Services</w:t>
            </w:r>
          </w:p>
        </w:tc>
      </w:tr>
      <w:tr w:rsidR="00CE544A" w:rsidRPr="00E46AEC" w14:paraId="6C8C6EE2" w14:textId="77777777" w:rsidTr="005F7F7E">
        <w:tc>
          <w:tcPr>
            <w:tcW w:w="2438" w:type="dxa"/>
            <w:shd w:val="clear" w:color="auto" w:fill="auto"/>
          </w:tcPr>
          <w:p w14:paraId="6EF65377" w14:textId="77777777"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14:paraId="7AECE14E" w14:textId="77777777" w:rsidR="00F445B1" w:rsidRPr="00B93B22" w:rsidRDefault="00051428" w:rsidP="004A6D2F">
            <w:pPr>
              <w:rPr>
                <w:rStyle w:val="Firstpagetablebold"/>
              </w:rPr>
            </w:pPr>
            <w:r w:rsidRPr="00B93B22">
              <w:rPr>
                <w:rStyle w:val="Firstpagetablebold"/>
              </w:rPr>
              <w:t>Co</w:t>
            </w:r>
            <w:r w:rsidR="00BE1987" w:rsidRPr="00B93B22">
              <w:rPr>
                <w:rStyle w:val="Firstpagetablebold"/>
              </w:rPr>
              <w:t>uncil Tax Reduction Scheme 20</w:t>
            </w:r>
            <w:r w:rsidR="00B93B22" w:rsidRPr="00B93B22">
              <w:rPr>
                <w:rStyle w:val="Firstpagetablebold"/>
              </w:rPr>
              <w:t>21</w:t>
            </w:r>
            <w:r w:rsidR="00BE1987" w:rsidRPr="00B93B22">
              <w:rPr>
                <w:rStyle w:val="Firstpagetablebold"/>
              </w:rPr>
              <w:t>/2</w:t>
            </w:r>
            <w:r w:rsidR="00B93B22" w:rsidRPr="00B93B22">
              <w:rPr>
                <w:rStyle w:val="Firstpagetablebold"/>
              </w:rPr>
              <w:t>2</w:t>
            </w:r>
          </w:p>
        </w:tc>
      </w:tr>
    </w:tbl>
    <w:p w14:paraId="6286D68D" w14:textId="77777777"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46AEC" w14:paraId="14E41CB6" w14:textId="77777777" w:rsidTr="0080749A">
        <w:tc>
          <w:tcPr>
            <w:tcW w:w="8845" w:type="dxa"/>
            <w:gridSpan w:val="3"/>
            <w:tcBorders>
              <w:bottom w:val="single" w:sz="8" w:space="0" w:color="000000"/>
            </w:tcBorders>
            <w:hideMark/>
          </w:tcPr>
          <w:p w14:paraId="69E1C233" w14:textId="77777777" w:rsidR="00D5547E" w:rsidRPr="00E46AEC" w:rsidRDefault="00745BF0" w:rsidP="00745BF0">
            <w:pPr>
              <w:jc w:val="center"/>
              <w:rPr>
                <w:rStyle w:val="Firstpagetablebold"/>
                <w:highlight w:val="yellow"/>
              </w:rPr>
            </w:pPr>
            <w:r w:rsidRPr="00FC29A6">
              <w:rPr>
                <w:rStyle w:val="Firstpagetablebold"/>
              </w:rPr>
              <w:t>Summary and r</w:t>
            </w:r>
            <w:r w:rsidR="00D5547E" w:rsidRPr="00FC29A6">
              <w:rPr>
                <w:rStyle w:val="Firstpagetablebold"/>
              </w:rPr>
              <w:t>ecommendations</w:t>
            </w:r>
          </w:p>
        </w:tc>
      </w:tr>
      <w:tr w:rsidR="00D5547E" w:rsidRPr="00E46AEC" w14:paraId="35B877C7" w14:textId="77777777" w:rsidTr="0080749A">
        <w:tc>
          <w:tcPr>
            <w:tcW w:w="2438" w:type="dxa"/>
            <w:gridSpan w:val="2"/>
            <w:tcBorders>
              <w:top w:val="single" w:sz="8" w:space="0" w:color="000000"/>
              <w:left w:val="single" w:sz="8" w:space="0" w:color="000000"/>
              <w:bottom w:val="nil"/>
              <w:right w:val="nil"/>
            </w:tcBorders>
            <w:hideMark/>
          </w:tcPr>
          <w:p w14:paraId="0E2E211A" w14:textId="77777777" w:rsidR="00D5547E" w:rsidRPr="00E46AEC" w:rsidRDefault="00D5547E">
            <w:pPr>
              <w:rPr>
                <w:rStyle w:val="Firstpagetablebold"/>
                <w:highlight w:val="yellow"/>
              </w:rPr>
            </w:pPr>
            <w:r w:rsidRPr="00FC29A6">
              <w:rPr>
                <w:rStyle w:val="Firstpagetablebold"/>
              </w:rPr>
              <w:t>Purpose of report:</w:t>
            </w:r>
          </w:p>
        </w:tc>
        <w:tc>
          <w:tcPr>
            <w:tcW w:w="6407" w:type="dxa"/>
            <w:tcBorders>
              <w:top w:val="single" w:sz="8" w:space="0" w:color="000000"/>
              <w:left w:val="nil"/>
              <w:bottom w:val="nil"/>
              <w:right w:val="single" w:sz="8" w:space="0" w:color="000000"/>
            </w:tcBorders>
            <w:hideMark/>
          </w:tcPr>
          <w:p w14:paraId="1AB891A7" w14:textId="77777777" w:rsidR="00D5547E" w:rsidRPr="00E46AEC" w:rsidRDefault="00051428" w:rsidP="00A8106D">
            <w:pPr>
              <w:rPr>
                <w:highlight w:val="yellow"/>
              </w:rPr>
            </w:pPr>
            <w:r w:rsidRPr="00FC29A6">
              <w:t xml:space="preserve">To consider the feedback from the recent consultation on the proposed </w:t>
            </w:r>
            <w:r w:rsidR="00F60052" w:rsidRPr="00FC29A6">
              <w:t>changes to the</w:t>
            </w:r>
            <w:r w:rsidR="00392B17">
              <w:t xml:space="preserve"> 2021/22 </w:t>
            </w:r>
            <w:r w:rsidR="00CC3009" w:rsidRPr="00FC29A6">
              <w:t>Council Tax Reduction</w:t>
            </w:r>
            <w:r w:rsidRPr="00FC29A6">
              <w:t xml:space="preserve"> Scheme and to agree the principles of the new scheme to be drawn up for approval by Council </w:t>
            </w:r>
          </w:p>
        </w:tc>
      </w:tr>
      <w:tr w:rsidR="00D5547E" w:rsidRPr="00E46AEC" w14:paraId="0F08B457" w14:textId="77777777" w:rsidTr="0080749A">
        <w:tc>
          <w:tcPr>
            <w:tcW w:w="2438" w:type="dxa"/>
            <w:gridSpan w:val="2"/>
            <w:tcBorders>
              <w:top w:val="nil"/>
              <w:left w:val="single" w:sz="8" w:space="0" w:color="000000"/>
              <w:bottom w:val="nil"/>
              <w:right w:val="nil"/>
            </w:tcBorders>
            <w:hideMark/>
          </w:tcPr>
          <w:p w14:paraId="00D7EB68" w14:textId="77777777" w:rsidR="00D5547E" w:rsidRPr="00FC29A6" w:rsidRDefault="00D5547E">
            <w:pPr>
              <w:rPr>
                <w:rStyle w:val="Firstpagetablebold"/>
              </w:rPr>
            </w:pPr>
            <w:r w:rsidRPr="00FC29A6">
              <w:rPr>
                <w:rStyle w:val="Firstpagetablebold"/>
              </w:rPr>
              <w:t>Key decision:</w:t>
            </w:r>
          </w:p>
        </w:tc>
        <w:tc>
          <w:tcPr>
            <w:tcW w:w="6407" w:type="dxa"/>
            <w:tcBorders>
              <w:top w:val="nil"/>
              <w:left w:val="nil"/>
              <w:bottom w:val="nil"/>
              <w:right w:val="single" w:sz="8" w:space="0" w:color="000000"/>
            </w:tcBorders>
            <w:hideMark/>
          </w:tcPr>
          <w:p w14:paraId="766EADA6" w14:textId="77777777" w:rsidR="00D5547E" w:rsidRPr="00FC29A6" w:rsidRDefault="00D5547E" w:rsidP="005F7F7E">
            <w:r w:rsidRPr="00FC29A6">
              <w:t>Ye</w:t>
            </w:r>
            <w:r w:rsidR="00F60052" w:rsidRPr="00FC29A6">
              <w:t>s</w:t>
            </w:r>
          </w:p>
        </w:tc>
      </w:tr>
      <w:tr w:rsidR="00D5547E" w:rsidRPr="00E46AEC" w14:paraId="6336804F" w14:textId="77777777" w:rsidTr="0080749A">
        <w:tc>
          <w:tcPr>
            <w:tcW w:w="2438" w:type="dxa"/>
            <w:gridSpan w:val="2"/>
            <w:tcBorders>
              <w:top w:val="nil"/>
              <w:left w:val="single" w:sz="8" w:space="0" w:color="000000"/>
              <w:bottom w:val="nil"/>
              <w:right w:val="nil"/>
            </w:tcBorders>
            <w:hideMark/>
          </w:tcPr>
          <w:p w14:paraId="5BFB365C" w14:textId="61BFEA3B" w:rsidR="00D5547E" w:rsidRPr="00796ADD" w:rsidRDefault="00106151">
            <w:pPr>
              <w:rPr>
                <w:rStyle w:val="Firstpagetablebold"/>
              </w:rPr>
            </w:pPr>
            <w:r>
              <w:rPr>
                <w:rStyle w:val="Firstpagetablebold"/>
              </w:rPr>
              <w:t>Cabinet</w:t>
            </w:r>
            <w:r w:rsidR="00D5547E" w:rsidRPr="00796ADD">
              <w:rPr>
                <w:rStyle w:val="Firstpagetablebold"/>
              </w:rPr>
              <w:t xml:space="preserve"> Member:</w:t>
            </w:r>
          </w:p>
        </w:tc>
        <w:tc>
          <w:tcPr>
            <w:tcW w:w="6407" w:type="dxa"/>
            <w:tcBorders>
              <w:top w:val="nil"/>
              <w:left w:val="nil"/>
              <w:bottom w:val="nil"/>
              <w:right w:val="single" w:sz="8" w:space="0" w:color="000000"/>
            </w:tcBorders>
            <w:hideMark/>
          </w:tcPr>
          <w:p w14:paraId="4F614F92" w14:textId="77777777" w:rsidR="00D5547E" w:rsidRPr="00796ADD" w:rsidRDefault="00D5547E" w:rsidP="00BE1987">
            <w:r w:rsidRPr="00796ADD">
              <w:t xml:space="preserve">Councillor </w:t>
            </w:r>
            <w:r w:rsidR="00CC3009" w:rsidRPr="00796ADD">
              <w:t>Marie Tidball</w:t>
            </w:r>
            <w:r w:rsidRPr="00796ADD">
              <w:t xml:space="preserve">, </w:t>
            </w:r>
            <w:r w:rsidR="00BE1987" w:rsidRPr="00796ADD">
              <w:t>Supporting Local Communities</w:t>
            </w:r>
          </w:p>
        </w:tc>
      </w:tr>
      <w:tr w:rsidR="0080749A" w:rsidRPr="00E46AEC" w14:paraId="13DD3AE1" w14:textId="77777777" w:rsidTr="0080749A">
        <w:tc>
          <w:tcPr>
            <w:tcW w:w="2438" w:type="dxa"/>
            <w:gridSpan w:val="2"/>
            <w:tcBorders>
              <w:top w:val="nil"/>
              <w:left w:val="single" w:sz="8" w:space="0" w:color="000000"/>
              <w:bottom w:val="nil"/>
              <w:right w:val="nil"/>
            </w:tcBorders>
          </w:tcPr>
          <w:p w14:paraId="3CE54299" w14:textId="77777777" w:rsidR="0080749A" w:rsidRPr="00FC29A6" w:rsidRDefault="0080749A">
            <w:pPr>
              <w:rPr>
                <w:rStyle w:val="Firstpagetablebold"/>
              </w:rPr>
            </w:pPr>
            <w:r w:rsidRPr="00FC29A6">
              <w:rPr>
                <w:rStyle w:val="Firstpagetablebold"/>
              </w:rPr>
              <w:t>Corporate Priority:</w:t>
            </w:r>
          </w:p>
        </w:tc>
        <w:tc>
          <w:tcPr>
            <w:tcW w:w="6407" w:type="dxa"/>
            <w:tcBorders>
              <w:top w:val="nil"/>
              <w:left w:val="nil"/>
              <w:bottom w:val="nil"/>
              <w:right w:val="single" w:sz="8" w:space="0" w:color="000000"/>
            </w:tcBorders>
          </w:tcPr>
          <w:p w14:paraId="4238B0A3" w14:textId="77777777" w:rsidR="0080749A" w:rsidRPr="00FC29A6" w:rsidRDefault="007921BC" w:rsidP="005F7F7E">
            <w:r>
              <w:t>All</w:t>
            </w:r>
          </w:p>
        </w:tc>
      </w:tr>
      <w:tr w:rsidR="00D5547E" w:rsidRPr="00E46AEC" w14:paraId="3D403937" w14:textId="77777777" w:rsidTr="0080749A">
        <w:tc>
          <w:tcPr>
            <w:tcW w:w="2438" w:type="dxa"/>
            <w:gridSpan w:val="2"/>
            <w:tcBorders>
              <w:top w:val="nil"/>
              <w:left w:val="single" w:sz="8" w:space="0" w:color="000000"/>
              <w:bottom w:val="nil"/>
              <w:right w:val="nil"/>
            </w:tcBorders>
            <w:hideMark/>
          </w:tcPr>
          <w:p w14:paraId="29287F2A" w14:textId="77777777" w:rsidR="00D5547E" w:rsidRPr="00FC29A6" w:rsidRDefault="00D5547E">
            <w:pPr>
              <w:rPr>
                <w:rStyle w:val="Firstpagetablebold"/>
              </w:rPr>
            </w:pPr>
            <w:r w:rsidRPr="00FC29A6">
              <w:rPr>
                <w:rStyle w:val="Firstpagetablebold"/>
              </w:rPr>
              <w:t>Policy Framework:</w:t>
            </w:r>
          </w:p>
        </w:tc>
        <w:tc>
          <w:tcPr>
            <w:tcW w:w="6407" w:type="dxa"/>
            <w:tcBorders>
              <w:top w:val="nil"/>
              <w:left w:val="nil"/>
              <w:bottom w:val="nil"/>
              <w:right w:val="single" w:sz="8" w:space="0" w:color="000000"/>
            </w:tcBorders>
            <w:hideMark/>
          </w:tcPr>
          <w:p w14:paraId="11A3354B" w14:textId="7A0CB642" w:rsidR="00D5547E" w:rsidRPr="00FC29A6" w:rsidRDefault="00A8106D" w:rsidP="005F7F7E">
            <w:r>
              <w:rPr>
                <w:rFonts w:cs="Arial"/>
                <w:color w:val="auto"/>
              </w:rPr>
              <w:t xml:space="preserve">Budget </w:t>
            </w:r>
            <w:r w:rsidR="003D07CC">
              <w:rPr>
                <w:rFonts w:cs="Arial"/>
                <w:color w:val="auto"/>
              </w:rPr>
              <w:t xml:space="preserve">and Medium Term Financial </w:t>
            </w:r>
            <w:r>
              <w:rPr>
                <w:rFonts w:cs="Arial"/>
                <w:color w:val="auto"/>
              </w:rPr>
              <w:t>Strategy</w:t>
            </w:r>
          </w:p>
        </w:tc>
      </w:tr>
      <w:tr w:rsidR="005F7F7E" w:rsidRPr="00E46AEC" w14:paraId="1B798932" w14:textId="77777777" w:rsidTr="00A46E98">
        <w:trPr>
          <w:trHeight w:val="413"/>
        </w:trPr>
        <w:tc>
          <w:tcPr>
            <w:tcW w:w="8845" w:type="dxa"/>
            <w:gridSpan w:val="3"/>
            <w:tcBorders>
              <w:bottom w:val="single" w:sz="8" w:space="0" w:color="000000"/>
            </w:tcBorders>
          </w:tcPr>
          <w:p w14:paraId="63DFCAF2" w14:textId="1A89C2B6" w:rsidR="005F7F7E" w:rsidRPr="00E46AEC" w:rsidRDefault="003D07CC" w:rsidP="00AA496A">
            <w:pPr>
              <w:rPr>
                <w:highlight w:val="yellow"/>
              </w:rPr>
            </w:pPr>
            <w:r>
              <w:rPr>
                <w:rStyle w:val="Firstpagetablebold"/>
              </w:rPr>
              <w:t>Recommendations</w:t>
            </w:r>
            <w:r w:rsidR="005F7F7E" w:rsidRPr="00FC29A6">
              <w:rPr>
                <w:rStyle w:val="Firstpagetablebold"/>
              </w:rPr>
              <w:t>:</w:t>
            </w:r>
            <w:r w:rsidR="00106151">
              <w:rPr>
                <w:rStyle w:val="Firstpagetablebold"/>
              </w:rPr>
              <w:t xml:space="preserve"> </w:t>
            </w:r>
            <w:r w:rsidR="005F7F7E" w:rsidRPr="003D07CC">
              <w:rPr>
                <w:rStyle w:val="Firstpagetablebold"/>
                <w:b w:val="0"/>
              </w:rPr>
              <w:t xml:space="preserve">That </w:t>
            </w:r>
            <w:r w:rsidR="00AA496A" w:rsidRPr="003D07CC">
              <w:rPr>
                <w:rStyle w:val="Firstpagetablebold"/>
                <w:b w:val="0"/>
              </w:rPr>
              <w:t>Cabinet</w:t>
            </w:r>
            <w:r w:rsidR="005F7F7E" w:rsidRPr="003D07CC">
              <w:rPr>
                <w:rStyle w:val="Firstpagetablebold"/>
                <w:b w:val="0"/>
              </w:rPr>
              <w:t xml:space="preserve"> resolves to:</w:t>
            </w:r>
          </w:p>
        </w:tc>
      </w:tr>
      <w:tr w:rsidR="0030208D" w:rsidRPr="00E46AEC" w14:paraId="42FDFBEB" w14:textId="77777777" w:rsidTr="00A46E98">
        <w:trPr>
          <w:trHeight w:val="283"/>
        </w:trPr>
        <w:tc>
          <w:tcPr>
            <w:tcW w:w="426" w:type="dxa"/>
            <w:tcBorders>
              <w:top w:val="single" w:sz="8" w:space="0" w:color="000000"/>
              <w:left w:val="single" w:sz="8" w:space="0" w:color="000000"/>
              <w:bottom w:val="nil"/>
              <w:right w:val="nil"/>
            </w:tcBorders>
          </w:tcPr>
          <w:p w14:paraId="2091107E" w14:textId="77777777" w:rsidR="0030208D" w:rsidRPr="00FC29A6" w:rsidRDefault="00046D2B" w:rsidP="004A6D2F">
            <w:r w:rsidRPr="00FC29A6">
              <w:t>1.</w:t>
            </w:r>
          </w:p>
        </w:tc>
        <w:tc>
          <w:tcPr>
            <w:tcW w:w="8419" w:type="dxa"/>
            <w:gridSpan w:val="2"/>
            <w:tcBorders>
              <w:top w:val="single" w:sz="8" w:space="0" w:color="000000"/>
              <w:left w:val="nil"/>
              <w:bottom w:val="nil"/>
              <w:right w:val="single" w:sz="8" w:space="0" w:color="000000"/>
            </w:tcBorders>
            <w:shd w:val="clear" w:color="auto" w:fill="auto"/>
          </w:tcPr>
          <w:p w14:paraId="783276A1" w14:textId="39241CD2" w:rsidR="0030208D" w:rsidRPr="00FC29A6" w:rsidRDefault="009F50C5" w:rsidP="009F50C5">
            <w:pPr>
              <w:rPr>
                <w:b/>
              </w:rPr>
            </w:pPr>
            <w:r w:rsidRPr="00FC29A6">
              <w:rPr>
                <w:rStyle w:val="Firstpagetablebold"/>
              </w:rPr>
              <w:t>Note</w:t>
            </w:r>
            <w:r w:rsidRPr="00FC29A6">
              <w:rPr>
                <w:rStyle w:val="Firstpagetablebold"/>
                <w:b w:val="0"/>
              </w:rPr>
              <w:t xml:space="preserve"> the outcome of the consultation on the proposed Council Tax Reduction Scheme</w:t>
            </w:r>
            <w:r w:rsidR="003D07CC">
              <w:rPr>
                <w:rStyle w:val="Firstpagetablebold"/>
                <w:b w:val="0"/>
              </w:rPr>
              <w:t>;</w:t>
            </w:r>
          </w:p>
        </w:tc>
      </w:tr>
      <w:tr w:rsidR="0030208D" w:rsidRPr="00E46AEC" w14:paraId="2E85B956" w14:textId="77777777" w:rsidTr="00A46E98">
        <w:trPr>
          <w:trHeight w:val="283"/>
        </w:trPr>
        <w:tc>
          <w:tcPr>
            <w:tcW w:w="426" w:type="dxa"/>
            <w:tcBorders>
              <w:top w:val="nil"/>
              <w:left w:val="single" w:sz="8" w:space="0" w:color="000000"/>
              <w:bottom w:val="nil"/>
              <w:right w:val="nil"/>
            </w:tcBorders>
          </w:tcPr>
          <w:p w14:paraId="24B642E9" w14:textId="77777777" w:rsidR="0030208D" w:rsidRPr="00E46AEC" w:rsidRDefault="00046D2B" w:rsidP="004A6D2F">
            <w:pPr>
              <w:rPr>
                <w:highlight w:val="yellow"/>
              </w:rPr>
            </w:pPr>
            <w:r w:rsidRPr="00FC29A6">
              <w:t>2.</w:t>
            </w:r>
          </w:p>
        </w:tc>
        <w:tc>
          <w:tcPr>
            <w:tcW w:w="8419" w:type="dxa"/>
            <w:gridSpan w:val="2"/>
            <w:tcBorders>
              <w:top w:val="nil"/>
              <w:left w:val="nil"/>
              <w:bottom w:val="nil"/>
              <w:right w:val="single" w:sz="8" w:space="0" w:color="000000"/>
            </w:tcBorders>
            <w:shd w:val="clear" w:color="auto" w:fill="auto"/>
          </w:tcPr>
          <w:p w14:paraId="7F31A4A1" w14:textId="77777777" w:rsidR="0030208D" w:rsidRPr="00E46AEC" w:rsidRDefault="00CC3009" w:rsidP="004F2A60">
            <w:pPr>
              <w:rPr>
                <w:b/>
                <w:highlight w:val="yellow"/>
              </w:rPr>
            </w:pPr>
            <w:r w:rsidRPr="00FC29A6">
              <w:rPr>
                <w:rStyle w:val="Firstpagetablebold"/>
              </w:rPr>
              <w:t xml:space="preserve">Delegate </w:t>
            </w:r>
            <w:r w:rsidRPr="00FC29A6">
              <w:rPr>
                <w:rStyle w:val="Firstpagetablebold"/>
                <w:b w:val="0"/>
              </w:rPr>
              <w:t>authority to</w:t>
            </w:r>
            <w:r w:rsidR="009F50C5" w:rsidRPr="00FC29A6">
              <w:rPr>
                <w:rStyle w:val="Firstpagetablebold"/>
                <w:b w:val="0"/>
              </w:rPr>
              <w:t xml:space="preserve"> </w:t>
            </w:r>
            <w:r w:rsidR="00A152DD" w:rsidRPr="00FC29A6">
              <w:rPr>
                <w:rStyle w:val="Firstpagetablebold"/>
                <w:b w:val="0"/>
              </w:rPr>
              <w:t xml:space="preserve">the </w:t>
            </w:r>
            <w:r w:rsidR="00BE1987" w:rsidRPr="00FC29A6">
              <w:rPr>
                <w:rStyle w:val="Firstpagetablebold"/>
                <w:b w:val="0"/>
              </w:rPr>
              <w:t xml:space="preserve">Head of Financial </w:t>
            </w:r>
            <w:r w:rsidR="00A152DD" w:rsidRPr="00FC29A6">
              <w:rPr>
                <w:rStyle w:val="Firstpagetablebold"/>
                <w:b w:val="0"/>
              </w:rPr>
              <w:t xml:space="preserve">Services </w:t>
            </w:r>
            <w:r w:rsidR="009F50C5" w:rsidRPr="00FC29A6">
              <w:rPr>
                <w:rStyle w:val="Firstpagetablebold"/>
                <w:b w:val="0"/>
              </w:rPr>
              <w:t xml:space="preserve"> to draft the details of </w:t>
            </w:r>
            <w:r w:rsidR="009F50C5" w:rsidRPr="0026788A">
              <w:rPr>
                <w:rStyle w:val="Firstpagetablebold"/>
                <w:b w:val="0"/>
              </w:rPr>
              <w:t>the new Counc</w:t>
            </w:r>
            <w:r w:rsidRPr="0026788A">
              <w:rPr>
                <w:rStyle w:val="Firstpagetablebold"/>
                <w:b w:val="0"/>
              </w:rPr>
              <w:t>il Tax Reduction Scheme for 202</w:t>
            </w:r>
            <w:r w:rsidR="00392B17" w:rsidRPr="0026788A">
              <w:rPr>
                <w:rStyle w:val="Firstpagetablebold"/>
                <w:b w:val="0"/>
              </w:rPr>
              <w:t>1</w:t>
            </w:r>
            <w:r w:rsidR="007635D4" w:rsidRPr="0026788A">
              <w:rPr>
                <w:rStyle w:val="Firstpagetablebold"/>
                <w:b w:val="0"/>
              </w:rPr>
              <w:t>/</w:t>
            </w:r>
            <w:r w:rsidR="00392B17" w:rsidRPr="0026788A">
              <w:rPr>
                <w:rStyle w:val="Firstpagetablebold"/>
                <w:b w:val="0"/>
              </w:rPr>
              <w:t>22</w:t>
            </w:r>
            <w:r w:rsidR="00193AC0" w:rsidRPr="0026788A">
              <w:rPr>
                <w:rStyle w:val="Firstpagetablebold"/>
                <w:b w:val="0"/>
              </w:rPr>
              <w:t xml:space="preserve"> in accordance with paragraph</w:t>
            </w:r>
            <w:r w:rsidR="0026788A" w:rsidRPr="0026788A">
              <w:rPr>
                <w:rStyle w:val="Firstpagetablebold"/>
                <w:b w:val="0"/>
              </w:rPr>
              <w:t>s 10</w:t>
            </w:r>
            <w:r w:rsidR="004F2A60" w:rsidRPr="0026788A">
              <w:rPr>
                <w:rStyle w:val="Firstpagetablebold"/>
                <w:b w:val="0"/>
              </w:rPr>
              <w:t>-1</w:t>
            </w:r>
            <w:r w:rsidR="0026788A" w:rsidRPr="0026788A">
              <w:rPr>
                <w:rStyle w:val="Firstpagetablebold"/>
                <w:b w:val="0"/>
              </w:rPr>
              <w:t>4</w:t>
            </w:r>
            <w:r w:rsidR="004C23E3" w:rsidRPr="00193AC0">
              <w:rPr>
                <w:rStyle w:val="Firstpagetablebold"/>
                <w:b w:val="0"/>
              </w:rPr>
              <w:t xml:space="preserve"> of this report</w:t>
            </w:r>
            <w:r w:rsidR="002069B3" w:rsidRPr="00796ADD">
              <w:rPr>
                <w:b/>
              </w:rPr>
              <w:t>;</w:t>
            </w:r>
            <w:r w:rsidRPr="00796ADD">
              <w:rPr>
                <w:b/>
              </w:rPr>
              <w:t xml:space="preserve"> </w:t>
            </w:r>
            <w:r w:rsidRPr="00796ADD">
              <w:t>and</w:t>
            </w:r>
          </w:p>
        </w:tc>
      </w:tr>
      <w:tr w:rsidR="00232F5B" w:rsidRPr="00E46AEC" w14:paraId="2898E185" w14:textId="77777777" w:rsidTr="00A46E98">
        <w:trPr>
          <w:trHeight w:val="283"/>
        </w:trPr>
        <w:tc>
          <w:tcPr>
            <w:tcW w:w="426" w:type="dxa"/>
            <w:tcBorders>
              <w:top w:val="nil"/>
              <w:left w:val="single" w:sz="8" w:space="0" w:color="000000"/>
              <w:bottom w:val="nil"/>
              <w:right w:val="nil"/>
            </w:tcBorders>
          </w:tcPr>
          <w:p w14:paraId="5B23F407" w14:textId="77777777" w:rsidR="0030208D" w:rsidRPr="00FC29A6" w:rsidRDefault="00046D2B" w:rsidP="004A6D2F">
            <w:r w:rsidRPr="00FC29A6">
              <w:t>3.</w:t>
            </w:r>
          </w:p>
        </w:tc>
        <w:tc>
          <w:tcPr>
            <w:tcW w:w="8419" w:type="dxa"/>
            <w:gridSpan w:val="2"/>
            <w:tcBorders>
              <w:top w:val="nil"/>
              <w:left w:val="nil"/>
              <w:bottom w:val="nil"/>
              <w:right w:val="single" w:sz="8" w:space="0" w:color="000000"/>
            </w:tcBorders>
            <w:shd w:val="clear" w:color="auto" w:fill="auto"/>
          </w:tcPr>
          <w:p w14:paraId="0D559DF1" w14:textId="1BD7451E" w:rsidR="0030208D" w:rsidRPr="00FC29A6" w:rsidRDefault="00185FA5" w:rsidP="002069B3">
            <w:pPr>
              <w:rPr>
                <w:b/>
              </w:rPr>
            </w:pPr>
            <w:r w:rsidRPr="00FC29A6">
              <w:rPr>
                <w:rStyle w:val="Firstpagetablebold"/>
              </w:rPr>
              <w:t>Recommend</w:t>
            </w:r>
            <w:r w:rsidRPr="00FC29A6">
              <w:rPr>
                <w:rStyle w:val="Firstpagetablebold"/>
                <w:b w:val="0"/>
              </w:rPr>
              <w:t xml:space="preserve"> Council to resolve to adopt the new Local Council Tax Reduction Scheme</w:t>
            </w:r>
            <w:r w:rsidR="00FC29A6">
              <w:rPr>
                <w:rStyle w:val="Firstpagetablebold"/>
                <w:b w:val="0"/>
              </w:rPr>
              <w:t xml:space="preserve"> for 2021/22</w:t>
            </w:r>
            <w:r w:rsidR="00544856">
              <w:rPr>
                <w:rStyle w:val="Firstpagetablebold"/>
                <w:b w:val="0"/>
              </w:rPr>
              <w:t xml:space="preserve"> taking into account the changes to the income bandings as highlighted in paragraph</w:t>
            </w:r>
            <w:r w:rsidR="00A65DF6">
              <w:rPr>
                <w:rStyle w:val="Firstpagetablebold"/>
                <w:b w:val="0"/>
              </w:rPr>
              <w:t xml:space="preserve">s 11-16, </w:t>
            </w:r>
            <w:r w:rsidR="00A801B8">
              <w:rPr>
                <w:rStyle w:val="Firstpagetablebold"/>
                <w:b w:val="0"/>
              </w:rPr>
              <w:t xml:space="preserve">and </w:t>
            </w:r>
            <w:r w:rsidR="00A65DF6">
              <w:rPr>
                <w:rStyle w:val="Firstpagetablebold"/>
                <w:b w:val="0"/>
              </w:rPr>
              <w:t>moving to an Income banded scheme for all CTR claimants</w:t>
            </w:r>
            <w:r w:rsidR="00544856">
              <w:rPr>
                <w:rStyle w:val="Firstpagetablebold"/>
                <w:b w:val="0"/>
              </w:rPr>
              <w:t xml:space="preserve">.  </w:t>
            </w:r>
          </w:p>
        </w:tc>
      </w:tr>
      <w:tr w:rsidR="00232F5B" w:rsidRPr="00E46AEC" w14:paraId="5D134A03" w14:textId="77777777" w:rsidTr="00A46E98">
        <w:trPr>
          <w:trHeight w:val="283"/>
        </w:trPr>
        <w:tc>
          <w:tcPr>
            <w:tcW w:w="426" w:type="dxa"/>
            <w:tcBorders>
              <w:top w:val="nil"/>
              <w:left w:val="single" w:sz="8" w:space="0" w:color="000000"/>
              <w:bottom w:val="single" w:sz="8" w:space="0" w:color="000000"/>
              <w:right w:val="nil"/>
            </w:tcBorders>
          </w:tcPr>
          <w:p w14:paraId="0C108349" w14:textId="77777777" w:rsidR="0030208D" w:rsidRPr="00E46AEC" w:rsidRDefault="0030208D" w:rsidP="004A6D2F">
            <w:pPr>
              <w:rPr>
                <w:highlight w:val="yellow"/>
              </w:rPr>
            </w:pPr>
          </w:p>
        </w:tc>
        <w:tc>
          <w:tcPr>
            <w:tcW w:w="8419" w:type="dxa"/>
            <w:gridSpan w:val="2"/>
            <w:tcBorders>
              <w:top w:val="nil"/>
              <w:left w:val="nil"/>
              <w:bottom w:val="single" w:sz="8" w:space="0" w:color="000000"/>
              <w:right w:val="single" w:sz="8" w:space="0" w:color="000000"/>
            </w:tcBorders>
            <w:shd w:val="clear" w:color="auto" w:fill="auto"/>
          </w:tcPr>
          <w:p w14:paraId="7089446F" w14:textId="77777777" w:rsidR="0030208D" w:rsidRPr="00E46AEC" w:rsidRDefault="0030208D" w:rsidP="00247C29">
            <w:pPr>
              <w:rPr>
                <w:highlight w:val="yellow"/>
              </w:rPr>
            </w:pPr>
          </w:p>
        </w:tc>
      </w:tr>
    </w:tbl>
    <w:p w14:paraId="480B4050" w14:textId="77777777" w:rsidR="00CE544A" w:rsidRPr="00E46AEC"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E46AEC" w14:paraId="41A41260"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72AF1420" w14:textId="77777777" w:rsidR="00966D42" w:rsidRPr="00E46AEC" w:rsidRDefault="00966D42" w:rsidP="00263EA3">
            <w:pPr>
              <w:jc w:val="center"/>
              <w:rPr>
                <w:highlight w:val="yellow"/>
              </w:rPr>
            </w:pPr>
            <w:r w:rsidRPr="00796ADD">
              <w:rPr>
                <w:rStyle w:val="Firstpagetablebold"/>
              </w:rPr>
              <w:t>Appendices</w:t>
            </w:r>
          </w:p>
        </w:tc>
      </w:tr>
      <w:tr w:rsidR="00ED5860" w:rsidRPr="00E46AEC" w14:paraId="582C0675"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4E61C55D" w14:textId="77777777" w:rsidR="00487B4A" w:rsidRPr="00193AC0" w:rsidRDefault="00487B4A" w:rsidP="004A6D2F"/>
          <w:p w14:paraId="17DD6E7C" w14:textId="77777777" w:rsidR="00ED5860" w:rsidRPr="00193AC0" w:rsidRDefault="00ED5860" w:rsidP="004A6D2F">
            <w:r w:rsidRPr="00193AC0">
              <w:t>Appendix 1</w:t>
            </w:r>
          </w:p>
        </w:tc>
        <w:tc>
          <w:tcPr>
            <w:tcW w:w="6166" w:type="dxa"/>
            <w:tcBorders>
              <w:top w:val="single" w:sz="8" w:space="0" w:color="000000"/>
              <w:left w:val="nil"/>
              <w:bottom w:val="nil"/>
              <w:right w:val="single" w:sz="8" w:space="0" w:color="000000"/>
            </w:tcBorders>
          </w:tcPr>
          <w:p w14:paraId="24E43B87" w14:textId="77777777" w:rsidR="00487B4A" w:rsidRPr="00193AC0" w:rsidRDefault="00487B4A" w:rsidP="004A6D2F"/>
          <w:p w14:paraId="62CC7186" w14:textId="77777777" w:rsidR="00487B4A" w:rsidRPr="00193AC0" w:rsidRDefault="00BE1987" w:rsidP="004A6D2F">
            <w:r w:rsidRPr="00193AC0">
              <w:t>Response to consultation</w:t>
            </w:r>
          </w:p>
        </w:tc>
      </w:tr>
      <w:tr w:rsidR="00ED5860" w:rsidRPr="00E46AEC" w14:paraId="4E81A379" w14:textId="77777777" w:rsidTr="008A4A35">
        <w:trPr>
          <w:trHeight w:val="63"/>
        </w:trPr>
        <w:tc>
          <w:tcPr>
            <w:tcW w:w="2347" w:type="dxa"/>
            <w:tcBorders>
              <w:top w:val="nil"/>
              <w:left w:val="single" w:sz="8" w:space="0" w:color="000000"/>
              <w:bottom w:val="nil"/>
              <w:right w:val="nil"/>
            </w:tcBorders>
            <w:shd w:val="clear" w:color="auto" w:fill="auto"/>
          </w:tcPr>
          <w:p w14:paraId="2C009C1C" w14:textId="77777777" w:rsidR="00ED5860" w:rsidRPr="00193AC0" w:rsidRDefault="0030208D" w:rsidP="004A6D2F">
            <w:r w:rsidRPr="00193AC0">
              <w:t xml:space="preserve">Appendix </w:t>
            </w:r>
            <w:r w:rsidR="00487B4A" w:rsidRPr="00193AC0">
              <w:t>2</w:t>
            </w:r>
          </w:p>
          <w:p w14:paraId="2E719D56" w14:textId="77777777" w:rsidR="00487B4A" w:rsidRPr="00193AC0" w:rsidRDefault="00487B4A" w:rsidP="004A6D2F">
            <w:r w:rsidRPr="00193AC0">
              <w:t>Appendix 3</w:t>
            </w:r>
          </w:p>
        </w:tc>
        <w:tc>
          <w:tcPr>
            <w:tcW w:w="6166" w:type="dxa"/>
            <w:tcBorders>
              <w:top w:val="nil"/>
              <w:left w:val="nil"/>
              <w:bottom w:val="nil"/>
              <w:right w:val="single" w:sz="8" w:space="0" w:color="000000"/>
            </w:tcBorders>
          </w:tcPr>
          <w:p w14:paraId="57ADCACD" w14:textId="77777777" w:rsidR="00ED5860" w:rsidRPr="00193AC0" w:rsidRDefault="00BE1987" w:rsidP="004A6D2F">
            <w:r w:rsidRPr="00193AC0">
              <w:t>Risk Register</w:t>
            </w:r>
          </w:p>
          <w:p w14:paraId="4149FD27" w14:textId="77777777" w:rsidR="00944A18" w:rsidRPr="00193AC0" w:rsidRDefault="00944A18" w:rsidP="004A6D2F">
            <w:r w:rsidRPr="00193AC0">
              <w:t>Equalities Impact Assessment</w:t>
            </w:r>
          </w:p>
        </w:tc>
      </w:tr>
      <w:tr w:rsidR="0030208D" w:rsidRPr="00E46AEC" w14:paraId="6F24398D" w14:textId="77777777" w:rsidTr="008A4A35">
        <w:trPr>
          <w:trHeight w:val="61"/>
        </w:trPr>
        <w:tc>
          <w:tcPr>
            <w:tcW w:w="2347" w:type="dxa"/>
            <w:tcBorders>
              <w:top w:val="nil"/>
              <w:left w:val="single" w:sz="8" w:space="0" w:color="000000"/>
              <w:bottom w:val="nil"/>
              <w:right w:val="nil"/>
            </w:tcBorders>
            <w:shd w:val="clear" w:color="auto" w:fill="auto"/>
          </w:tcPr>
          <w:p w14:paraId="5E693EC8" w14:textId="1BC0317D" w:rsidR="0030208D" w:rsidRPr="00F0394C" w:rsidRDefault="00F0394C" w:rsidP="004A6D2F">
            <w:r w:rsidRPr="00F0394C">
              <w:t>Appendix 4</w:t>
            </w:r>
          </w:p>
        </w:tc>
        <w:tc>
          <w:tcPr>
            <w:tcW w:w="6166" w:type="dxa"/>
            <w:tcBorders>
              <w:top w:val="nil"/>
              <w:left w:val="nil"/>
              <w:bottom w:val="nil"/>
              <w:right w:val="single" w:sz="8" w:space="0" w:color="000000"/>
            </w:tcBorders>
          </w:tcPr>
          <w:p w14:paraId="069A7918" w14:textId="37375630" w:rsidR="0030208D" w:rsidRPr="00F0394C" w:rsidRDefault="00F0394C" w:rsidP="004A6D2F">
            <w:r w:rsidRPr="00F0394C">
              <w:t>Glossary of Terms</w:t>
            </w:r>
          </w:p>
        </w:tc>
      </w:tr>
      <w:tr w:rsidR="0030208D" w:rsidRPr="00E46AEC" w14:paraId="189F9CE6"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5BC0BA07" w14:textId="77777777" w:rsidR="0030208D" w:rsidRPr="00E46AEC" w:rsidRDefault="0030208D" w:rsidP="004A6D2F">
            <w:pPr>
              <w:rPr>
                <w:highlight w:val="yellow"/>
              </w:rPr>
            </w:pPr>
          </w:p>
        </w:tc>
        <w:tc>
          <w:tcPr>
            <w:tcW w:w="6166" w:type="dxa"/>
            <w:tcBorders>
              <w:top w:val="nil"/>
              <w:left w:val="nil"/>
              <w:bottom w:val="single" w:sz="8" w:space="0" w:color="000000"/>
              <w:right w:val="single" w:sz="8" w:space="0" w:color="000000"/>
            </w:tcBorders>
          </w:tcPr>
          <w:p w14:paraId="0BAD764A" w14:textId="77777777" w:rsidR="0030208D" w:rsidRPr="00E46AEC" w:rsidRDefault="0030208D" w:rsidP="00BE1987">
            <w:pPr>
              <w:jc w:val="center"/>
              <w:rPr>
                <w:highlight w:val="yellow"/>
              </w:rPr>
            </w:pPr>
          </w:p>
        </w:tc>
      </w:tr>
    </w:tbl>
    <w:p w14:paraId="666D9FDB" w14:textId="77777777" w:rsidR="003D07CC" w:rsidRDefault="003D07CC" w:rsidP="003D07CC"/>
    <w:p w14:paraId="06B82D9E" w14:textId="77777777" w:rsidR="0006230D" w:rsidRPr="003D07CC" w:rsidRDefault="0006230D" w:rsidP="003D07CC"/>
    <w:p w14:paraId="0B0A5FD7" w14:textId="77777777" w:rsidR="00185FA5" w:rsidRPr="00796ADD" w:rsidRDefault="00F66DCA" w:rsidP="0006230D">
      <w:pPr>
        <w:pStyle w:val="Heading1"/>
        <w:rPr>
          <w:rFonts w:eastAsia="Calibri" w:cs="Arial"/>
          <w:color w:val="auto"/>
          <w:sz w:val="22"/>
          <w:szCs w:val="22"/>
          <w:lang w:eastAsia="en-US"/>
        </w:rPr>
      </w:pPr>
      <w:r w:rsidRPr="00796ADD">
        <w:lastRenderedPageBreak/>
        <w:t>Introduction and b</w:t>
      </w:r>
      <w:r w:rsidR="00151888" w:rsidRPr="00796ADD">
        <w:t>ackground</w:t>
      </w:r>
      <w:r w:rsidR="00404032" w:rsidRPr="00796ADD">
        <w:t xml:space="preserve"> </w:t>
      </w:r>
    </w:p>
    <w:p w14:paraId="280B7660" w14:textId="77777777" w:rsidR="00185FA5" w:rsidRPr="00796ADD" w:rsidRDefault="00185FA5" w:rsidP="0085194F">
      <w:pPr>
        <w:pStyle w:val="ListParagraph"/>
        <w:numPr>
          <w:ilvl w:val="0"/>
          <w:numId w:val="6"/>
        </w:numPr>
        <w:spacing w:after="0"/>
        <w:rPr>
          <w:rFonts w:eastAsia="Calibri" w:cs="Arial"/>
          <w:color w:val="auto"/>
          <w:sz w:val="22"/>
          <w:szCs w:val="22"/>
          <w:lang w:eastAsia="en-US"/>
        </w:rPr>
      </w:pPr>
      <w:r w:rsidRPr="00796ADD">
        <w:rPr>
          <w:rFonts w:eastAsia="Calibri" w:cs="Arial"/>
          <w:color w:val="auto"/>
          <w:sz w:val="22"/>
          <w:szCs w:val="22"/>
          <w:lang w:eastAsia="en-US"/>
        </w:rPr>
        <w:t>Councils are required to review their C</w:t>
      </w:r>
      <w:r w:rsidR="008A4A35" w:rsidRPr="00796ADD">
        <w:rPr>
          <w:rFonts w:eastAsia="Calibri" w:cs="Arial"/>
          <w:color w:val="auto"/>
          <w:sz w:val="22"/>
          <w:szCs w:val="22"/>
          <w:lang w:eastAsia="en-US"/>
        </w:rPr>
        <w:t xml:space="preserve">ouncil </w:t>
      </w:r>
      <w:r w:rsidRPr="00796ADD">
        <w:rPr>
          <w:rFonts w:eastAsia="Calibri" w:cs="Arial"/>
          <w:color w:val="auto"/>
          <w:sz w:val="22"/>
          <w:szCs w:val="22"/>
          <w:lang w:eastAsia="en-US"/>
        </w:rPr>
        <w:t>T</w:t>
      </w:r>
      <w:r w:rsidR="008A4A35" w:rsidRPr="00796ADD">
        <w:rPr>
          <w:rFonts w:eastAsia="Calibri" w:cs="Arial"/>
          <w:color w:val="auto"/>
          <w:sz w:val="22"/>
          <w:szCs w:val="22"/>
          <w:lang w:eastAsia="en-US"/>
        </w:rPr>
        <w:t xml:space="preserve">ax </w:t>
      </w:r>
      <w:r w:rsidRPr="00796ADD">
        <w:rPr>
          <w:rFonts w:eastAsia="Calibri" w:cs="Arial"/>
          <w:color w:val="auto"/>
          <w:sz w:val="22"/>
          <w:szCs w:val="22"/>
          <w:lang w:eastAsia="en-US"/>
        </w:rPr>
        <w:t>R</w:t>
      </w:r>
      <w:r w:rsidR="008A4A35" w:rsidRPr="00796ADD">
        <w:rPr>
          <w:rFonts w:eastAsia="Calibri" w:cs="Arial"/>
          <w:color w:val="auto"/>
          <w:sz w:val="22"/>
          <w:szCs w:val="22"/>
          <w:lang w:eastAsia="en-US"/>
        </w:rPr>
        <w:t>eduction</w:t>
      </w:r>
      <w:r w:rsidRPr="00796ADD">
        <w:rPr>
          <w:rFonts w:eastAsia="Calibri" w:cs="Arial"/>
          <w:color w:val="auto"/>
          <w:sz w:val="22"/>
          <w:szCs w:val="22"/>
          <w:lang w:eastAsia="en-US"/>
        </w:rPr>
        <w:t xml:space="preserve"> </w:t>
      </w:r>
      <w:r w:rsidR="00296BD9" w:rsidRPr="00796ADD">
        <w:rPr>
          <w:rFonts w:eastAsia="Calibri" w:cs="Arial"/>
          <w:color w:val="auto"/>
          <w:sz w:val="22"/>
          <w:szCs w:val="22"/>
          <w:lang w:eastAsia="en-US"/>
        </w:rPr>
        <w:t xml:space="preserve">(CTR) </w:t>
      </w:r>
      <w:r w:rsidR="00017F92" w:rsidRPr="00796ADD">
        <w:rPr>
          <w:rFonts w:eastAsia="Calibri" w:cs="Arial"/>
          <w:color w:val="auto"/>
          <w:sz w:val="22"/>
          <w:szCs w:val="22"/>
          <w:lang w:eastAsia="en-US"/>
        </w:rPr>
        <w:t>S</w:t>
      </w:r>
      <w:r w:rsidRPr="00796ADD">
        <w:rPr>
          <w:rFonts w:eastAsia="Calibri" w:cs="Arial"/>
          <w:color w:val="auto"/>
          <w:sz w:val="22"/>
          <w:szCs w:val="22"/>
          <w:lang w:eastAsia="en-US"/>
        </w:rPr>
        <w:t xml:space="preserve">cheme </w:t>
      </w:r>
      <w:r w:rsidR="008A4A35" w:rsidRPr="00796ADD">
        <w:rPr>
          <w:rFonts w:eastAsia="Calibri" w:cs="Arial"/>
          <w:color w:val="auto"/>
          <w:sz w:val="22"/>
          <w:szCs w:val="22"/>
          <w:lang w:eastAsia="en-US"/>
        </w:rPr>
        <w:t xml:space="preserve">for working age recipients </w:t>
      </w:r>
      <w:r w:rsidRPr="00796ADD">
        <w:rPr>
          <w:rFonts w:eastAsia="Calibri" w:cs="Arial"/>
          <w:color w:val="auto"/>
          <w:sz w:val="22"/>
          <w:szCs w:val="22"/>
          <w:lang w:eastAsia="en-US"/>
        </w:rPr>
        <w:t xml:space="preserve">on an annual basis and determine whether to revise it or not. </w:t>
      </w:r>
      <w:r w:rsidR="008A4A35" w:rsidRPr="00796ADD">
        <w:rPr>
          <w:rFonts w:eastAsia="Calibri" w:cs="Arial"/>
          <w:color w:val="auto"/>
          <w:sz w:val="22"/>
          <w:szCs w:val="22"/>
          <w:lang w:eastAsia="en-US"/>
        </w:rPr>
        <w:t>The scheme that exists for pension age recipients is a national scheme prescribed by regulations and cannot be varied locally.</w:t>
      </w:r>
    </w:p>
    <w:p w14:paraId="5AC90E59" w14:textId="77777777" w:rsidR="008A4A35" w:rsidRPr="00796ADD" w:rsidRDefault="008A4A35" w:rsidP="008A4A35">
      <w:pPr>
        <w:pStyle w:val="ListParagraph"/>
        <w:numPr>
          <w:ilvl w:val="0"/>
          <w:numId w:val="0"/>
        </w:numPr>
        <w:spacing w:after="0"/>
        <w:ind w:left="720"/>
        <w:rPr>
          <w:rFonts w:eastAsia="Calibri" w:cs="Arial"/>
          <w:color w:val="auto"/>
          <w:sz w:val="22"/>
          <w:szCs w:val="22"/>
          <w:lang w:eastAsia="en-US"/>
        </w:rPr>
      </w:pPr>
    </w:p>
    <w:p w14:paraId="6E38657D"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In order to change its scheme a council is required by law to:</w:t>
      </w:r>
    </w:p>
    <w:p w14:paraId="049A619A"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the major precepting authorities</w:t>
      </w:r>
    </w:p>
    <w:p w14:paraId="319F07B8"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other persons it considers are likely to have an interest in the operation of the scheme</w:t>
      </w:r>
    </w:p>
    <w:p w14:paraId="3CF7EF37" w14:textId="77777777" w:rsidR="007635D4" w:rsidRDefault="007635D4" w:rsidP="002200E7">
      <w:pPr>
        <w:tabs>
          <w:tab w:val="left" w:pos="426"/>
        </w:tabs>
        <w:spacing w:after="0"/>
        <w:ind w:left="720"/>
        <w:rPr>
          <w:rFonts w:eastAsia="Calibri" w:cs="Arial"/>
          <w:color w:val="auto"/>
          <w:sz w:val="22"/>
          <w:szCs w:val="22"/>
          <w:lang w:eastAsia="en-US"/>
        </w:rPr>
      </w:pPr>
    </w:p>
    <w:p w14:paraId="0EA0F4DD" w14:textId="77777777" w:rsidR="00185FA5" w:rsidRPr="00796ADD" w:rsidRDefault="00296BD9" w:rsidP="002200E7">
      <w:pPr>
        <w:tabs>
          <w:tab w:val="left" w:pos="426"/>
        </w:tabs>
        <w:spacing w:after="0"/>
        <w:ind w:left="720"/>
        <w:rPr>
          <w:rFonts w:eastAsia="Calibri" w:cs="Arial"/>
          <w:color w:val="auto"/>
          <w:sz w:val="22"/>
          <w:szCs w:val="22"/>
          <w:lang w:eastAsia="en-US"/>
        </w:rPr>
      </w:pPr>
      <w:r w:rsidRPr="00796ADD">
        <w:rPr>
          <w:rFonts w:eastAsia="Calibri" w:cs="Arial"/>
          <w:color w:val="auto"/>
          <w:sz w:val="22"/>
          <w:szCs w:val="22"/>
          <w:lang w:eastAsia="en-US"/>
        </w:rPr>
        <w:t>The CTR</w:t>
      </w:r>
      <w:r w:rsidR="00185FA5" w:rsidRPr="00796ADD">
        <w:rPr>
          <w:rFonts w:eastAsia="Calibri" w:cs="Arial"/>
          <w:color w:val="auto"/>
          <w:sz w:val="22"/>
          <w:szCs w:val="22"/>
          <w:lang w:eastAsia="en-US"/>
        </w:rPr>
        <w:t xml:space="preserve"> Scheme itself must be adopted by </w:t>
      </w:r>
      <w:r w:rsidR="005F7905" w:rsidRPr="00796ADD">
        <w:rPr>
          <w:rFonts w:eastAsia="Calibri" w:cs="Arial"/>
          <w:color w:val="auto"/>
          <w:sz w:val="22"/>
          <w:szCs w:val="22"/>
          <w:lang w:eastAsia="en-US"/>
        </w:rPr>
        <w:t>f</w:t>
      </w:r>
      <w:r w:rsidR="00185FA5" w:rsidRPr="00796ADD">
        <w:rPr>
          <w:rFonts w:eastAsia="Calibri" w:cs="Arial"/>
          <w:color w:val="auto"/>
          <w:sz w:val="22"/>
          <w:szCs w:val="22"/>
          <w:lang w:eastAsia="en-US"/>
        </w:rPr>
        <w:t xml:space="preserve">ull Council, </w:t>
      </w:r>
      <w:r w:rsidR="009D780B" w:rsidRPr="00796ADD">
        <w:rPr>
          <w:rFonts w:eastAsia="Calibri" w:cs="Arial"/>
          <w:color w:val="auto"/>
          <w:sz w:val="22"/>
          <w:szCs w:val="22"/>
          <w:lang w:eastAsia="en-US"/>
        </w:rPr>
        <w:t>it</w:t>
      </w:r>
      <w:r w:rsidR="00185FA5" w:rsidRPr="00796ADD">
        <w:rPr>
          <w:rFonts w:eastAsia="Calibri" w:cs="Arial"/>
          <w:color w:val="auto"/>
          <w:sz w:val="22"/>
          <w:szCs w:val="22"/>
          <w:lang w:eastAsia="en-US"/>
        </w:rPr>
        <w:t xml:space="preserve"> cannot be delegated to an </w:t>
      </w:r>
      <w:r w:rsidR="005F7905" w:rsidRPr="00796ADD">
        <w:rPr>
          <w:rFonts w:eastAsia="Calibri" w:cs="Arial"/>
          <w:color w:val="auto"/>
          <w:sz w:val="22"/>
          <w:szCs w:val="22"/>
          <w:lang w:eastAsia="en-US"/>
        </w:rPr>
        <w:t>o</w:t>
      </w:r>
      <w:r w:rsidR="00185FA5" w:rsidRPr="00796ADD">
        <w:rPr>
          <w:rFonts w:eastAsia="Calibri" w:cs="Arial"/>
          <w:color w:val="auto"/>
          <w:sz w:val="22"/>
          <w:szCs w:val="22"/>
          <w:lang w:eastAsia="en-US"/>
        </w:rPr>
        <w:t xml:space="preserve">fficer or </w:t>
      </w:r>
      <w:r w:rsidR="005F7905" w:rsidRPr="00796ADD">
        <w:rPr>
          <w:rFonts w:eastAsia="Calibri" w:cs="Arial"/>
          <w:color w:val="auto"/>
          <w:sz w:val="22"/>
          <w:szCs w:val="22"/>
          <w:lang w:eastAsia="en-US"/>
        </w:rPr>
        <w:t>c</w:t>
      </w:r>
      <w:r w:rsidR="00185FA5" w:rsidRPr="00796ADD">
        <w:rPr>
          <w:rFonts w:eastAsia="Calibri" w:cs="Arial"/>
          <w:color w:val="auto"/>
          <w:sz w:val="22"/>
          <w:szCs w:val="22"/>
          <w:lang w:eastAsia="en-US"/>
        </w:rPr>
        <w:t>ommittee.</w:t>
      </w:r>
    </w:p>
    <w:p w14:paraId="4FDE7AA1" w14:textId="77777777" w:rsidR="00185FA5" w:rsidRPr="00796ADD" w:rsidRDefault="00185FA5" w:rsidP="00185FA5">
      <w:pPr>
        <w:spacing w:after="0"/>
        <w:rPr>
          <w:rFonts w:eastAsia="Calibri" w:cs="Arial"/>
          <w:color w:val="auto"/>
          <w:sz w:val="22"/>
          <w:szCs w:val="22"/>
          <w:lang w:eastAsia="en-US"/>
        </w:rPr>
      </w:pPr>
    </w:p>
    <w:p w14:paraId="2513631C"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Local Schemes must take account of and support:</w:t>
      </w:r>
    </w:p>
    <w:p w14:paraId="73CDDCDF" w14:textId="77777777" w:rsidR="00185FA5" w:rsidRPr="00796ADD" w:rsidRDefault="00185FA5" w:rsidP="0085194F">
      <w:pPr>
        <w:numPr>
          <w:ilvl w:val="0"/>
          <w:numId w:val="7"/>
        </w:numPr>
        <w:tabs>
          <w:tab w:val="left" w:pos="426"/>
        </w:tabs>
        <w:spacing w:after="0" w:line="276" w:lineRule="auto"/>
        <w:rPr>
          <w:rFonts w:eastAsia="Calibri" w:cs="Arial"/>
          <w:color w:val="auto"/>
          <w:sz w:val="22"/>
          <w:szCs w:val="22"/>
          <w:lang w:eastAsia="en-US"/>
        </w:rPr>
      </w:pPr>
      <w:r w:rsidRPr="00796ADD">
        <w:rPr>
          <w:rFonts w:eastAsia="Calibri" w:cs="Arial"/>
          <w:color w:val="auto"/>
          <w:sz w:val="22"/>
          <w:szCs w:val="22"/>
          <w:lang w:eastAsia="en-US"/>
        </w:rPr>
        <w:t>Work incentives and in particular avoid disincentives for those moving into work</w:t>
      </w:r>
    </w:p>
    <w:p w14:paraId="3B9F3D97" w14:textId="77777777" w:rsidR="00185FA5" w:rsidRPr="00DC0876" w:rsidRDefault="002200E7" w:rsidP="0085194F">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Council’s duties to protect vulnerable people (under the Equality Act 2010,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Care Act 2014, </w:t>
      </w:r>
      <w:r w:rsidR="005F7905" w:rsidRPr="00DC0876">
        <w:rPr>
          <w:rFonts w:eastAsia="Calibri" w:cs="Arial"/>
          <w:color w:val="auto"/>
          <w:sz w:val="22"/>
          <w:szCs w:val="22"/>
          <w:lang w:eastAsia="en-US"/>
        </w:rPr>
        <w:t xml:space="preserve">the </w:t>
      </w:r>
      <w:r w:rsidR="00185FA5" w:rsidRPr="00DC0876">
        <w:rPr>
          <w:rFonts w:eastAsia="Calibri" w:cs="Arial"/>
          <w:color w:val="auto"/>
          <w:sz w:val="22"/>
          <w:szCs w:val="22"/>
          <w:lang w:eastAsia="en-US"/>
        </w:rPr>
        <w:t>Child Poverty Act 2010</w:t>
      </w:r>
      <w:r w:rsidR="005F7905" w:rsidRPr="00DC0876">
        <w:rPr>
          <w:rFonts w:eastAsia="Calibri" w:cs="Arial"/>
          <w:color w:val="auto"/>
          <w:sz w:val="22"/>
          <w:szCs w:val="22"/>
          <w:lang w:eastAsia="en-US"/>
        </w:rPr>
        <w:t xml:space="preserve"> and </w:t>
      </w:r>
      <w:r w:rsidR="00185FA5" w:rsidRPr="00DC0876">
        <w:rPr>
          <w:rFonts w:eastAsia="Calibri" w:cs="Arial"/>
          <w:color w:val="auto"/>
          <w:sz w:val="22"/>
          <w:szCs w:val="22"/>
          <w:lang w:eastAsia="en-US"/>
        </w:rPr>
        <w:t xml:space="preserve">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he Housing Act 1996)</w:t>
      </w:r>
    </w:p>
    <w:p w14:paraId="1C4E0B53" w14:textId="5295B906" w:rsidR="00A60E40" w:rsidRPr="0006230D" w:rsidRDefault="00185FA5" w:rsidP="00A60E40">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The Armed Forces Covenant</w:t>
      </w:r>
    </w:p>
    <w:p w14:paraId="3C4E3B9B" w14:textId="54E7EB34" w:rsidR="00896E27" w:rsidRPr="0006230D" w:rsidRDefault="00A60E40" w:rsidP="0006230D">
      <w:pPr>
        <w:pStyle w:val="Heading1"/>
        <w:rPr>
          <w:rFonts w:eastAsia="Calibri"/>
          <w:lang w:eastAsia="en-US"/>
        </w:rPr>
      </w:pPr>
      <w:r w:rsidRPr="00DC59F9">
        <w:rPr>
          <w:rFonts w:eastAsia="Calibri"/>
          <w:lang w:eastAsia="en-US"/>
        </w:rPr>
        <w:t>Proposed changes to scheme</w:t>
      </w:r>
    </w:p>
    <w:p w14:paraId="20518C71" w14:textId="77777777" w:rsidR="00DC59F9" w:rsidRPr="00392B17" w:rsidRDefault="00DC0876" w:rsidP="00392B17">
      <w:pPr>
        <w:pStyle w:val="ListParagraph"/>
        <w:numPr>
          <w:ilvl w:val="0"/>
          <w:numId w:val="6"/>
        </w:numPr>
        <w:spacing w:after="0"/>
        <w:rPr>
          <w:rFonts w:eastAsia="Calibri" w:cs="Arial"/>
          <w:color w:val="auto"/>
          <w:sz w:val="22"/>
          <w:szCs w:val="22"/>
          <w:lang w:eastAsia="en-US"/>
        </w:rPr>
      </w:pPr>
      <w:r w:rsidRPr="00DC59F9">
        <w:rPr>
          <w:rFonts w:eastAsia="Calibri" w:cs="Arial"/>
          <w:color w:val="auto"/>
          <w:sz w:val="22"/>
          <w:szCs w:val="22"/>
          <w:lang w:eastAsia="en-US"/>
        </w:rPr>
        <w:t>At its meeting on the 9</w:t>
      </w:r>
      <w:r w:rsidR="009D780B" w:rsidRPr="00DC59F9">
        <w:rPr>
          <w:rFonts w:eastAsia="Calibri" w:cs="Arial"/>
          <w:color w:val="auto"/>
          <w:sz w:val="22"/>
          <w:szCs w:val="22"/>
          <w:lang w:eastAsia="en-US"/>
        </w:rPr>
        <w:t xml:space="preserve"> </w:t>
      </w:r>
      <w:r w:rsidRPr="00DC59F9">
        <w:rPr>
          <w:rFonts w:eastAsia="Calibri" w:cs="Arial"/>
          <w:color w:val="auto"/>
          <w:sz w:val="22"/>
          <w:szCs w:val="22"/>
          <w:lang w:eastAsia="en-US"/>
        </w:rPr>
        <w:t>September 2020</w:t>
      </w:r>
      <w:r w:rsidR="00AA496A" w:rsidRPr="00DC59F9">
        <w:rPr>
          <w:rFonts w:eastAsia="Calibri" w:cs="Arial"/>
          <w:color w:val="auto"/>
          <w:sz w:val="22"/>
          <w:szCs w:val="22"/>
          <w:lang w:eastAsia="en-US"/>
        </w:rPr>
        <w:t>, Cabinet</w:t>
      </w:r>
      <w:r w:rsidR="009D780B" w:rsidRPr="00DC59F9">
        <w:rPr>
          <w:rFonts w:eastAsia="Calibri" w:cs="Arial"/>
          <w:color w:val="auto"/>
          <w:sz w:val="22"/>
          <w:szCs w:val="22"/>
          <w:lang w:eastAsia="en-US"/>
        </w:rPr>
        <w:t xml:space="preserve"> agreed to cons</w:t>
      </w:r>
      <w:r w:rsidR="004B3B39" w:rsidRPr="00DC59F9">
        <w:rPr>
          <w:rFonts w:eastAsia="Calibri" w:cs="Arial"/>
          <w:color w:val="auto"/>
          <w:sz w:val="22"/>
          <w:szCs w:val="22"/>
          <w:lang w:eastAsia="en-US"/>
        </w:rPr>
        <w:t>ult on a new CTR Scheme for 202</w:t>
      </w:r>
      <w:r w:rsidR="0006084B">
        <w:rPr>
          <w:rFonts w:eastAsia="Calibri" w:cs="Arial"/>
          <w:color w:val="auto"/>
          <w:sz w:val="22"/>
          <w:szCs w:val="22"/>
          <w:lang w:eastAsia="en-US"/>
        </w:rPr>
        <w:t>1</w:t>
      </w:r>
      <w:r w:rsidR="004B3B39" w:rsidRPr="00DC59F9">
        <w:rPr>
          <w:rFonts w:eastAsia="Calibri" w:cs="Arial"/>
          <w:color w:val="auto"/>
          <w:sz w:val="22"/>
          <w:szCs w:val="22"/>
          <w:lang w:eastAsia="en-US"/>
        </w:rPr>
        <w:t>/2</w:t>
      </w:r>
      <w:r w:rsidR="0006084B">
        <w:rPr>
          <w:rFonts w:eastAsia="Calibri" w:cs="Arial"/>
          <w:color w:val="auto"/>
          <w:sz w:val="22"/>
          <w:szCs w:val="22"/>
          <w:lang w:eastAsia="en-US"/>
        </w:rPr>
        <w:t>2</w:t>
      </w:r>
      <w:r w:rsidR="009D780B" w:rsidRPr="00DC59F9">
        <w:rPr>
          <w:rFonts w:eastAsia="Calibri" w:cs="Arial"/>
          <w:color w:val="auto"/>
          <w:sz w:val="22"/>
          <w:szCs w:val="22"/>
          <w:lang w:eastAsia="en-US"/>
        </w:rPr>
        <w:t xml:space="preserve">. </w:t>
      </w:r>
      <w:r w:rsidR="00185FA5" w:rsidRPr="00DC59F9">
        <w:rPr>
          <w:rFonts w:eastAsia="Calibri" w:cs="Arial"/>
          <w:color w:val="auto"/>
          <w:sz w:val="22"/>
          <w:szCs w:val="22"/>
          <w:lang w:eastAsia="en-US"/>
        </w:rPr>
        <w:t xml:space="preserve">Public consultation was undertaken </w:t>
      </w:r>
      <w:r w:rsidRPr="00DC59F9">
        <w:rPr>
          <w:rFonts w:eastAsia="Calibri" w:cs="Arial"/>
          <w:color w:val="auto"/>
          <w:sz w:val="22"/>
          <w:szCs w:val="22"/>
          <w:lang w:eastAsia="en-US"/>
        </w:rPr>
        <w:t xml:space="preserve">for a period of 8 weeks </w:t>
      </w:r>
      <w:r w:rsidR="00185FA5" w:rsidRPr="00DC59F9">
        <w:rPr>
          <w:rFonts w:eastAsia="Calibri" w:cs="Arial"/>
          <w:color w:val="auto"/>
          <w:sz w:val="22"/>
          <w:szCs w:val="22"/>
          <w:lang w:eastAsia="en-US"/>
        </w:rPr>
        <w:t xml:space="preserve">from </w:t>
      </w:r>
      <w:r w:rsidRPr="00DC59F9">
        <w:rPr>
          <w:rFonts w:eastAsia="Calibri" w:cs="Arial"/>
          <w:color w:val="auto"/>
          <w:sz w:val="22"/>
          <w:szCs w:val="22"/>
          <w:lang w:eastAsia="en-US"/>
        </w:rPr>
        <w:t>21</w:t>
      </w:r>
      <w:r w:rsidR="00E11E69">
        <w:rPr>
          <w:rFonts w:eastAsia="Calibri" w:cs="Arial"/>
          <w:color w:val="auto"/>
          <w:sz w:val="22"/>
          <w:szCs w:val="22"/>
          <w:lang w:eastAsia="en-US"/>
        </w:rPr>
        <w:t xml:space="preserve"> September 2020</w:t>
      </w:r>
      <w:r w:rsidR="00EE066A" w:rsidRPr="00DC59F9">
        <w:rPr>
          <w:rFonts w:eastAsia="Calibri" w:cs="Arial"/>
          <w:color w:val="auto"/>
          <w:sz w:val="22"/>
          <w:szCs w:val="22"/>
          <w:lang w:eastAsia="en-US"/>
        </w:rPr>
        <w:t xml:space="preserve"> to </w:t>
      </w:r>
      <w:r w:rsidRPr="00DC59F9">
        <w:rPr>
          <w:rFonts w:eastAsia="Calibri" w:cs="Arial"/>
          <w:color w:val="auto"/>
          <w:sz w:val="22"/>
          <w:szCs w:val="22"/>
          <w:lang w:eastAsia="en-US"/>
        </w:rPr>
        <w:t>13</w:t>
      </w:r>
      <w:r w:rsidR="00395472" w:rsidRPr="00DC59F9">
        <w:rPr>
          <w:rFonts w:eastAsia="Calibri" w:cs="Arial"/>
          <w:color w:val="auto"/>
          <w:sz w:val="22"/>
          <w:szCs w:val="22"/>
          <w:lang w:eastAsia="en-US"/>
        </w:rPr>
        <w:t xml:space="preserve"> November</w:t>
      </w:r>
      <w:r w:rsidR="00E11E69">
        <w:rPr>
          <w:rFonts w:eastAsia="Calibri" w:cs="Arial"/>
          <w:color w:val="auto"/>
          <w:sz w:val="22"/>
          <w:szCs w:val="22"/>
          <w:lang w:eastAsia="en-US"/>
        </w:rPr>
        <w:t xml:space="preserve"> 2020</w:t>
      </w:r>
      <w:r w:rsidR="00E04B7C" w:rsidRPr="00DC59F9">
        <w:rPr>
          <w:rFonts w:eastAsia="Calibri" w:cs="Arial"/>
          <w:color w:val="auto"/>
          <w:sz w:val="22"/>
          <w:szCs w:val="22"/>
          <w:lang w:eastAsia="en-US"/>
        </w:rPr>
        <w:t xml:space="preserve"> in </w:t>
      </w:r>
      <w:r w:rsidRPr="00DC59F9">
        <w:rPr>
          <w:rFonts w:eastAsia="Calibri" w:cs="Arial"/>
          <w:color w:val="auto"/>
          <w:sz w:val="22"/>
          <w:szCs w:val="22"/>
          <w:lang w:eastAsia="en-US"/>
        </w:rPr>
        <w:t xml:space="preserve">both </w:t>
      </w:r>
      <w:r w:rsidR="00E04B7C" w:rsidRPr="00DC59F9">
        <w:rPr>
          <w:rFonts w:eastAsia="Calibri" w:cs="Arial"/>
          <w:color w:val="auto"/>
          <w:sz w:val="22"/>
          <w:szCs w:val="22"/>
          <w:lang w:eastAsia="en-US"/>
        </w:rPr>
        <w:t>electronic and paper format</w:t>
      </w:r>
      <w:r w:rsidRPr="00DC59F9">
        <w:rPr>
          <w:rFonts w:eastAsia="Calibri" w:cs="Arial"/>
          <w:color w:val="auto"/>
          <w:sz w:val="22"/>
          <w:szCs w:val="22"/>
          <w:lang w:eastAsia="en-US"/>
        </w:rPr>
        <w:t xml:space="preserve"> where required</w:t>
      </w:r>
      <w:r w:rsidR="00EE066A" w:rsidRPr="00DC59F9">
        <w:rPr>
          <w:rFonts w:eastAsia="Calibri" w:cs="Arial"/>
          <w:color w:val="auto"/>
          <w:sz w:val="22"/>
          <w:szCs w:val="22"/>
          <w:lang w:eastAsia="en-US"/>
        </w:rPr>
        <w:t xml:space="preserve">. </w:t>
      </w:r>
      <w:r w:rsidRPr="00DC59F9">
        <w:rPr>
          <w:rFonts w:eastAsia="Calibri" w:cs="Arial"/>
          <w:color w:val="auto"/>
          <w:sz w:val="22"/>
          <w:szCs w:val="22"/>
          <w:lang w:eastAsia="en-US"/>
        </w:rPr>
        <w:t xml:space="preserve">The Council </w:t>
      </w:r>
      <w:r w:rsidR="005E4D1A" w:rsidRPr="00DC59F9">
        <w:rPr>
          <w:rFonts w:eastAsia="Calibri" w:cs="Arial"/>
          <w:color w:val="auto"/>
          <w:sz w:val="22"/>
          <w:szCs w:val="22"/>
          <w:lang w:eastAsia="en-US"/>
        </w:rPr>
        <w:t xml:space="preserve">consulted directly with </w:t>
      </w:r>
      <w:r w:rsidRPr="00DC59F9">
        <w:rPr>
          <w:rFonts w:eastAsia="Calibri" w:cs="Arial"/>
          <w:color w:val="auto"/>
          <w:sz w:val="22"/>
          <w:szCs w:val="22"/>
          <w:lang w:eastAsia="en-US"/>
        </w:rPr>
        <w:t>existing CTR</w:t>
      </w:r>
      <w:r w:rsidR="005E4D1A" w:rsidRPr="00DC59F9">
        <w:rPr>
          <w:rFonts w:eastAsia="Calibri" w:cs="Arial"/>
          <w:color w:val="auto"/>
          <w:sz w:val="22"/>
          <w:szCs w:val="22"/>
          <w:lang w:eastAsia="en-US"/>
        </w:rPr>
        <w:t xml:space="preserve"> claimants. </w:t>
      </w:r>
      <w:r w:rsidR="00EE066A" w:rsidRPr="00DC59F9">
        <w:rPr>
          <w:rFonts w:eastAsia="Calibri" w:cs="Arial"/>
          <w:color w:val="auto"/>
          <w:sz w:val="22"/>
          <w:szCs w:val="22"/>
          <w:lang w:eastAsia="en-US"/>
        </w:rPr>
        <w:t xml:space="preserve">The </w:t>
      </w:r>
      <w:r w:rsidR="00185FA5" w:rsidRPr="00DC59F9">
        <w:rPr>
          <w:rFonts w:eastAsia="Calibri" w:cs="Arial"/>
          <w:color w:val="auto"/>
          <w:sz w:val="22"/>
          <w:szCs w:val="22"/>
          <w:lang w:eastAsia="en-US"/>
        </w:rPr>
        <w:t xml:space="preserve">views of the major preceptors, </w:t>
      </w:r>
      <w:r w:rsidR="005E4D1A" w:rsidRPr="00DC59F9">
        <w:rPr>
          <w:rFonts w:eastAsia="Calibri" w:cs="Arial"/>
          <w:color w:val="auto"/>
          <w:sz w:val="22"/>
          <w:szCs w:val="22"/>
          <w:lang w:eastAsia="en-US"/>
        </w:rPr>
        <w:t>Oxfordshire County Council and t</w:t>
      </w:r>
      <w:r w:rsidR="00185FA5" w:rsidRPr="00DC59F9">
        <w:rPr>
          <w:rFonts w:eastAsia="Calibri" w:cs="Arial"/>
          <w:color w:val="auto"/>
          <w:sz w:val="22"/>
          <w:szCs w:val="22"/>
          <w:lang w:eastAsia="en-US"/>
        </w:rPr>
        <w:t xml:space="preserve">he Thames Valley </w:t>
      </w:r>
      <w:r w:rsidR="00395472" w:rsidRPr="00DC59F9">
        <w:rPr>
          <w:rFonts w:eastAsia="Calibri" w:cs="Arial"/>
          <w:color w:val="auto"/>
          <w:sz w:val="22"/>
          <w:szCs w:val="22"/>
          <w:lang w:eastAsia="en-US"/>
        </w:rPr>
        <w:t>P</w:t>
      </w:r>
      <w:r w:rsidR="00E04B7C" w:rsidRPr="00DC59F9">
        <w:rPr>
          <w:rFonts w:eastAsia="Calibri" w:cs="Arial"/>
          <w:color w:val="auto"/>
          <w:sz w:val="22"/>
          <w:szCs w:val="22"/>
          <w:lang w:eastAsia="en-US"/>
        </w:rPr>
        <w:t xml:space="preserve">olice </w:t>
      </w:r>
      <w:r w:rsidR="005E4D1A" w:rsidRPr="00DC59F9">
        <w:rPr>
          <w:rFonts w:eastAsia="Calibri" w:cs="Arial"/>
          <w:color w:val="auto"/>
          <w:sz w:val="22"/>
          <w:szCs w:val="22"/>
          <w:lang w:eastAsia="en-US"/>
        </w:rPr>
        <w:t xml:space="preserve">and Crime </w:t>
      </w:r>
      <w:r w:rsidR="00E04B7C" w:rsidRPr="00DC59F9">
        <w:rPr>
          <w:rFonts w:eastAsia="Calibri" w:cs="Arial"/>
          <w:color w:val="auto"/>
          <w:sz w:val="22"/>
          <w:szCs w:val="22"/>
          <w:lang w:eastAsia="en-US"/>
        </w:rPr>
        <w:t xml:space="preserve">Commissioner were also </w:t>
      </w:r>
      <w:r w:rsidR="00185FA5" w:rsidRPr="00DC59F9">
        <w:rPr>
          <w:rFonts w:eastAsia="Calibri" w:cs="Arial"/>
          <w:color w:val="auto"/>
          <w:sz w:val="22"/>
          <w:szCs w:val="22"/>
          <w:lang w:eastAsia="en-US"/>
        </w:rPr>
        <w:t>sought</w:t>
      </w:r>
      <w:r w:rsidRPr="00DC59F9">
        <w:rPr>
          <w:rFonts w:eastAsia="Calibri" w:cs="Arial"/>
          <w:color w:val="auto"/>
          <w:sz w:val="22"/>
          <w:szCs w:val="22"/>
          <w:lang w:eastAsia="en-US"/>
        </w:rPr>
        <w:t xml:space="preserve"> alongside the advice agencies in Oxford</w:t>
      </w:r>
      <w:r w:rsidR="00185FA5" w:rsidRPr="00DC59F9">
        <w:rPr>
          <w:rFonts w:eastAsia="Calibri" w:cs="Arial"/>
          <w:color w:val="auto"/>
          <w:sz w:val="22"/>
          <w:szCs w:val="22"/>
          <w:lang w:eastAsia="en-US"/>
        </w:rPr>
        <w:t xml:space="preserve">. </w:t>
      </w:r>
    </w:p>
    <w:p w14:paraId="73858A70" w14:textId="77777777" w:rsidR="00395472" w:rsidRPr="007921BC" w:rsidRDefault="00395472" w:rsidP="00392B17">
      <w:pPr>
        <w:spacing w:after="0"/>
        <w:rPr>
          <w:rFonts w:eastAsia="Calibri" w:cs="Arial"/>
          <w:color w:val="auto"/>
          <w:sz w:val="22"/>
          <w:szCs w:val="22"/>
          <w:lang w:eastAsia="en-US"/>
        </w:rPr>
      </w:pPr>
    </w:p>
    <w:p w14:paraId="651CDE26" w14:textId="77777777" w:rsidR="00705FA4" w:rsidRPr="007921BC" w:rsidRDefault="007921BC" w:rsidP="0085194F">
      <w:pPr>
        <w:pStyle w:val="ListParagraph"/>
        <w:numPr>
          <w:ilvl w:val="0"/>
          <w:numId w:val="6"/>
        </w:numPr>
        <w:rPr>
          <w:rFonts w:eastAsia="Calibri" w:cs="Arial"/>
          <w:color w:val="auto"/>
          <w:sz w:val="22"/>
          <w:szCs w:val="22"/>
          <w:lang w:eastAsia="en-US"/>
        </w:rPr>
      </w:pPr>
      <w:r w:rsidRPr="007921BC">
        <w:rPr>
          <w:rFonts w:eastAsia="Calibri" w:cs="Arial"/>
          <w:color w:val="auto"/>
          <w:sz w:val="22"/>
          <w:szCs w:val="22"/>
          <w:lang w:eastAsia="en-US"/>
        </w:rPr>
        <w:t xml:space="preserve">A number of </w:t>
      </w:r>
      <w:r w:rsidR="00D56DCB" w:rsidRPr="007921BC">
        <w:rPr>
          <w:rFonts w:eastAsia="Calibri" w:cs="Arial"/>
          <w:color w:val="auto"/>
          <w:sz w:val="22"/>
          <w:szCs w:val="22"/>
          <w:lang w:eastAsia="en-US"/>
        </w:rPr>
        <w:t xml:space="preserve">new </w:t>
      </w:r>
      <w:r w:rsidR="00395472" w:rsidRPr="007921BC">
        <w:rPr>
          <w:rFonts w:eastAsia="Calibri" w:cs="Arial"/>
          <w:color w:val="auto"/>
          <w:sz w:val="22"/>
          <w:szCs w:val="22"/>
          <w:lang w:eastAsia="en-US"/>
        </w:rPr>
        <w:t>proposals were s</w:t>
      </w:r>
      <w:r w:rsidR="00705FA4" w:rsidRPr="007921BC">
        <w:rPr>
          <w:rFonts w:eastAsia="Calibri" w:cs="Arial"/>
          <w:color w:val="auto"/>
          <w:sz w:val="22"/>
          <w:szCs w:val="22"/>
          <w:lang w:eastAsia="en-US"/>
        </w:rPr>
        <w:t>ubmitted for consultation</w:t>
      </w:r>
      <w:r w:rsidR="00397DB5">
        <w:rPr>
          <w:rFonts w:eastAsia="Calibri" w:cs="Arial"/>
          <w:color w:val="auto"/>
          <w:sz w:val="22"/>
          <w:szCs w:val="22"/>
          <w:lang w:eastAsia="en-US"/>
        </w:rPr>
        <w:t>, alongside the annual uprating for the income banded scheme</w:t>
      </w:r>
      <w:r w:rsidR="00705FA4" w:rsidRPr="007921BC">
        <w:rPr>
          <w:rFonts w:eastAsia="Calibri" w:cs="Arial"/>
          <w:color w:val="auto"/>
          <w:sz w:val="22"/>
          <w:szCs w:val="22"/>
          <w:lang w:eastAsia="en-US"/>
        </w:rPr>
        <w:t xml:space="preserve">. The </w:t>
      </w:r>
      <w:r w:rsidR="00395472" w:rsidRPr="007921BC">
        <w:rPr>
          <w:rFonts w:eastAsia="Calibri" w:cs="Arial"/>
          <w:color w:val="auto"/>
          <w:sz w:val="22"/>
          <w:szCs w:val="22"/>
          <w:lang w:eastAsia="en-US"/>
        </w:rPr>
        <w:t>proposals related to</w:t>
      </w:r>
      <w:r w:rsidRPr="007921BC">
        <w:rPr>
          <w:rFonts w:eastAsia="Calibri" w:cs="Arial"/>
          <w:color w:val="auto"/>
          <w:sz w:val="22"/>
          <w:szCs w:val="22"/>
          <w:lang w:eastAsia="en-US"/>
        </w:rPr>
        <w:t>:</w:t>
      </w:r>
      <w:r w:rsidR="00395472" w:rsidRPr="007921BC">
        <w:rPr>
          <w:rFonts w:eastAsia="Calibri" w:cs="Arial"/>
          <w:color w:val="auto"/>
          <w:sz w:val="22"/>
          <w:szCs w:val="22"/>
          <w:lang w:eastAsia="en-US"/>
        </w:rPr>
        <w:t xml:space="preserve"> </w:t>
      </w:r>
    </w:p>
    <w:p w14:paraId="1F835490" w14:textId="77777777" w:rsidR="00BC311D" w:rsidRDefault="00BC311D" w:rsidP="00BC311D">
      <w:pPr>
        <w:pStyle w:val="ListParagraph"/>
        <w:numPr>
          <w:ilvl w:val="0"/>
          <w:numId w:val="24"/>
        </w:numPr>
        <w:autoSpaceDE w:val="0"/>
        <w:autoSpaceDN w:val="0"/>
        <w:adjustRightInd w:val="0"/>
        <w:spacing w:after="0"/>
        <w:rPr>
          <w:rFonts w:cs="Arial"/>
          <w:color w:val="auto"/>
          <w:sz w:val="22"/>
          <w:szCs w:val="22"/>
        </w:rPr>
      </w:pPr>
      <w:r w:rsidRPr="00BC311D">
        <w:rPr>
          <w:rFonts w:cs="Arial"/>
          <w:color w:val="auto"/>
          <w:sz w:val="22"/>
          <w:szCs w:val="22"/>
        </w:rPr>
        <w:t xml:space="preserve">Reducing the costs of the CTR Scheme for working age claimants by introducing a minimum charge for all residents unless they fall within certain criteria </w:t>
      </w:r>
      <w:r w:rsidR="0050622D">
        <w:rPr>
          <w:rFonts w:cs="Arial"/>
          <w:color w:val="auto"/>
          <w:sz w:val="22"/>
          <w:szCs w:val="22"/>
        </w:rPr>
        <w:t>(modelling has been</w:t>
      </w:r>
      <w:r w:rsidRPr="00BC311D">
        <w:rPr>
          <w:rFonts w:cs="Arial"/>
          <w:color w:val="auto"/>
          <w:sz w:val="22"/>
          <w:szCs w:val="22"/>
        </w:rPr>
        <w:t xml:space="preserve"> undertaken to assess the impact of any charge introduced);</w:t>
      </w:r>
    </w:p>
    <w:p w14:paraId="0DCA05B6" w14:textId="77777777" w:rsid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Uprating the current Income Bands for UC claimants;</w:t>
      </w:r>
    </w:p>
    <w:p w14:paraId="2C834780" w14:textId="69FA5756" w:rsidR="00A801B8" w:rsidRDefault="00A801B8" w:rsidP="00BC311D">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Introducing</w:t>
      </w:r>
      <w:r w:rsidRPr="00BC311D">
        <w:rPr>
          <w:rFonts w:cs="Arial"/>
          <w:color w:val="auto"/>
          <w:sz w:val="22"/>
          <w:szCs w:val="22"/>
        </w:rPr>
        <w:t xml:space="preserve"> a</w:t>
      </w:r>
      <w:r>
        <w:rPr>
          <w:rFonts w:cs="Arial"/>
          <w:color w:val="auto"/>
          <w:sz w:val="22"/>
          <w:szCs w:val="22"/>
        </w:rPr>
        <w:t>n</w:t>
      </w:r>
      <w:r w:rsidRPr="00BC311D">
        <w:rPr>
          <w:rFonts w:cs="Arial"/>
          <w:color w:val="auto"/>
          <w:sz w:val="22"/>
          <w:szCs w:val="22"/>
        </w:rPr>
        <w:t xml:space="preserve"> </w:t>
      </w:r>
      <w:r>
        <w:rPr>
          <w:rFonts w:cs="Arial"/>
          <w:color w:val="auto"/>
          <w:sz w:val="22"/>
          <w:szCs w:val="22"/>
        </w:rPr>
        <w:t>Income Banded scheme</w:t>
      </w:r>
      <w:r w:rsidRPr="00BC311D">
        <w:rPr>
          <w:rFonts w:cs="Arial"/>
          <w:color w:val="auto"/>
          <w:sz w:val="22"/>
          <w:szCs w:val="22"/>
        </w:rPr>
        <w:t xml:space="preserve"> for </w:t>
      </w:r>
      <w:r>
        <w:rPr>
          <w:rFonts w:cs="Arial"/>
          <w:color w:val="auto"/>
          <w:sz w:val="22"/>
          <w:szCs w:val="22"/>
        </w:rPr>
        <w:t xml:space="preserve">all </w:t>
      </w:r>
      <w:r w:rsidRPr="00BC311D">
        <w:rPr>
          <w:rFonts w:cs="Arial"/>
          <w:color w:val="auto"/>
          <w:sz w:val="22"/>
          <w:szCs w:val="22"/>
        </w:rPr>
        <w:t>working age claimants, in the same way as UC claimants are treated. The impact on the CTR claimant is that fewer changes will need to be reported to the Council for minor income changes, resulting in less administration and more certainty for claimants;</w:t>
      </w:r>
    </w:p>
    <w:p w14:paraId="1A6F1A51" w14:textId="2549F65A" w:rsidR="00BC311D" w:rsidRP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Administering</w:t>
      </w:r>
      <w:r w:rsidR="00BC311D" w:rsidRPr="00BC311D">
        <w:rPr>
          <w:rFonts w:cs="Arial"/>
          <w:color w:val="auto"/>
          <w:sz w:val="22"/>
          <w:szCs w:val="22"/>
        </w:rPr>
        <w:t xml:space="preserve"> CTR</w:t>
      </w:r>
      <w:r>
        <w:rPr>
          <w:rFonts w:cs="Arial"/>
          <w:color w:val="auto"/>
          <w:sz w:val="22"/>
          <w:szCs w:val="22"/>
        </w:rPr>
        <w:t xml:space="preserve"> as</w:t>
      </w:r>
      <w:r w:rsidR="00BC311D" w:rsidRPr="00BC311D">
        <w:rPr>
          <w:rFonts w:cs="Arial"/>
          <w:color w:val="auto"/>
          <w:sz w:val="22"/>
          <w:szCs w:val="22"/>
        </w:rPr>
        <w:t xml:space="preserve"> a discount from the amount of Council Tax due (in the majority of CTR schemes it </w:t>
      </w:r>
      <w:r w:rsidR="0050622D">
        <w:rPr>
          <w:rFonts w:cs="Arial"/>
          <w:color w:val="auto"/>
          <w:sz w:val="22"/>
          <w:szCs w:val="22"/>
        </w:rPr>
        <w:t xml:space="preserve">still </w:t>
      </w:r>
      <w:r w:rsidR="00BC311D" w:rsidRPr="00BC311D">
        <w:rPr>
          <w:rFonts w:cs="Arial"/>
          <w:color w:val="auto"/>
          <w:sz w:val="22"/>
          <w:szCs w:val="22"/>
        </w:rPr>
        <w:t>mirrors the administration of Council Tax Benefit). Administration savings can be achieved by simplifying how the discount works;</w:t>
      </w:r>
      <w:r>
        <w:rPr>
          <w:rFonts w:cs="Arial"/>
          <w:color w:val="auto"/>
          <w:sz w:val="22"/>
          <w:szCs w:val="22"/>
        </w:rPr>
        <w:t xml:space="preserve"> </w:t>
      </w:r>
      <w:r w:rsidR="00BC311D" w:rsidRPr="00A801B8">
        <w:rPr>
          <w:rFonts w:cs="Arial"/>
          <w:color w:val="auto"/>
          <w:sz w:val="22"/>
          <w:szCs w:val="22"/>
        </w:rPr>
        <w:t>and</w:t>
      </w:r>
    </w:p>
    <w:p w14:paraId="33514382" w14:textId="7FEFF5F3" w:rsidR="00BC311D" w:rsidRDefault="00BC311D" w:rsidP="007635D4">
      <w:pPr>
        <w:pStyle w:val="ListParagraph"/>
        <w:numPr>
          <w:ilvl w:val="0"/>
          <w:numId w:val="24"/>
        </w:numPr>
        <w:autoSpaceDE w:val="0"/>
        <w:autoSpaceDN w:val="0"/>
        <w:adjustRightInd w:val="0"/>
        <w:spacing w:after="0"/>
        <w:rPr>
          <w:rFonts w:cs="Arial"/>
          <w:color w:val="auto"/>
          <w:sz w:val="22"/>
          <w:szCs w:val="22"/>
        </w:rPr>
      </w:pPr>
      <w:r w:rsidRPr="007635D4">
        <w:rPr>
          <w:rFonts w:cs="Arial"/>
          <w:color w:val="auto"/>
          <w:sz w:val="22"/>
          <w:szCs w:val="22"/>
        </w:rPr>
        <w:t>Minor changes to simplify some of the existing scheme rules, such as non-dependant</w:t>
      </w:r>
      <w:r w:rsidR="007635D4" w:rsidRPr="007635D4">
        <w:rPr>
          <w:rFonts w:cs="Arial"/>
          <w:color w:val="auto"/>
          <w:sz w:val="22"/>
          <w:szCs w:val="22"/>
        </w:rPr>
        <w:t xml:space="preserve"> </w:t>
      </w:r>
      <w:r w:rsidRPr="007635D4">
        <w:rPr>
          <w:rFonts w:cs="Arial"/>
          <w:color w:val="auto"/>
          <w:sz w:val="22"/>
          <w:szCs w:val="22"/>
        </w:rPr>
        <w:t>deductions and capital limits, if the scheme remains largely the same</w:t>
      </w:r>
      <w:r w:rsidR="00A801B8">
        <w:rPr>
          <w:rFonts w:cs="Arial"/>
          <w:color w:val="auto"/>
          <w:sz w:val="22"/>
          <w:szCs w:val="22"/>
        </w:rPr>
        <w:t xml:space="preserve"> as the current scheme</w:t>
      </w:r>
      <w:r w:rsidRPr="007635D4">
        <w:rPr>
          <w:rFonts w:cs="Arial"/>
          <w:color w:val="auto"/>
          <w:sz w:val="22"/>
          <w:szCs w:val="22"/>
        </w:rPr>
        <w:t>.</w:t>
      </w:r>
    </w:p>
    <w:p w14:paraId="4F97A0E7" w14:textId="77777777" w:rsidR="007635D4" w:rsidRPr="007635D4" w:rsidRDefault="007635D4" w:rsidP="007635D4">
      <w:pPr>
        <w:pStyle w:val="ListParagraph"/>
        <w:numPr>
          <w:ilvl w:val="0"/>
          <w:numId w:val="0"/>
        </w:numPr>
        <w:autoSpaceDE w:val="0"/>
        <w:autoSpaceDN w:val="0"/>
        <w:adjustRightInd w:val="0"/>
        <w:spacing w:after="0"/>
        <w:ind w:left="1440"/>
        <w:rPr>
          <w:rFonts w:cs="Arial"/>
          <w:color w:val="auto"/>
          <w:sz w:val="22"/>
          <w:szCs w:val="22"/>
        </w:rPr>
      </w:pPr>
    </w:p>
    <w:p w14:paraId="07048D1F" w14:textId="43BFF023" w:rsidR="00BC311D" w:rsidRPr="00515D8A" w:rsidRDefault="00392B17" w:rsidP="00515D8A">
      <w:pPr>
        <w:numPr>
          <w:ilvl w:val="0"/>
          <w:numId w:val="6"/>
        </w:numPr>
        <w:spacing w:after="0"/>
        <w:rPr>
          <w:rFonts w:eastAsia="Calibri" w:cs="Arial"/>
          <w:color w:val="auto"/>
          <w:sz w:val="22"/>
          <w:szCs w:val="22"/>
          <w:lang w:eastAsia="en-US"/>
        </w:rPr>
      </w:pPr>
      <w:r>
        <w:rPr>
          <w:rFonts w:cs="Arial"/>
          <w:color w:val="auto"/>
          <w:sz w:val="22"/>
          <w:szCs w:val="22"/>
        </w:rPr>
        <w:t>Any of the</w:t>
      </w:r>
      <w:r w:rsidRPr="00DC59F9">
        <w:rPr>
          <w:rFonts w:eastAsia="Calibri" w:cs="Arial"/>
          <w:color w:val="auto"/>
          <w:sz w:val="22"/>
          <w:szCs w:val="22"/>
          <w:lang w:eastAsia="en-US"/>
        </w:rPr>
        <w:t xml:space="preserve"> </w:t>
      </w:r>
      <w:r>
        <w:rPr>
          <w:rFonts w:eastAsia="Calibri" w:cs="Arial"/>
          <w:color w:val="auto"/>
          <w:sz w:val="22"/>
          <w:szCs w:val="22"/>
          <w:lang w:eastAsia="en-US"/>
        </w:rPr>
        <w:t>options suggested in the consultation but not utilised can</w:t>
      </w:r>
      <w:r w:rsidRPr="00DC59F9">
        <w:rPr>
          <w:rFonts w:eastAsia="Calibri" w:cs="Arial"/>
          <w:color w:val="auto"/>
          <w:sz w:val="22"/>
          <w:szCs w:val="22"/>
          <w:lang w:eastAsia="en-US"/>
        </w:rPr>
        <w:t xml:space="preserve"> be revisited in future years due to the increasing cost of the CTR scheme to the Council</w:t>
      </w:r>
      <w:r w:rsidR="00A801B8">
        <w:rPr>
          <w:rFonts w:eastAsia="Calibri" w:cs="Arial"/>
          <w:color w:val="auto"/>
          <w:sz w:val="22"/>
          <w:szCs w:val="22"/>
          <w:lang w:eastAsia="en-US"/>
        </w:rPr>
        <w:t>, and the C</w:t>
      </w:r>
      <w:r>
        <w:rPr>
          <w:rFonts w:eastAsia="Calibri" w:cs="Arial"/>
          <w:color w:val="auto"/>
          <w:sz w:val="22"/>
          <w:szCs w:val="22"/>
          <w:lang w:eastAsia="en-US"/>
        </w:rPr>
        <w:t>ouncil is currently working with an external company, Policy in Practice, to model such schemes and the social impact of making changes to the existing scheme</w:t>
      </w:r>
      <w:r w:rsidRPr="00DC59F9">
        <w:rPr>
          <w:rFonts w:eastAsia="Calibri" w:cs="Arial"/>
          <w:color w:val="auto"/>
          <w:sz w:val="22"/>
          <w:szCs w:val="22"/>
          <w:lang w:eastAsia="en-US"/>
        </w:rPr>
        <w:t>.</w:t>
      </w:r>
    </w:p>
    <w:p w14:paraId="54A69183" w14:textId="77777777" w:rsidR="00392B17" w:rsidRDefault="00392B17" w:rsidP="00BC311D">
      <w:pPr>
        <w:autoSpaceDE w:val="0"/>
        <w:autoSpaceDN w:val="0"/>
        <w:adjustRightInd w:val="0"/>
        <w:spacing w:after="0"/>
        <w:ind w:firstLine="720"/>
        <w:rPr>
          <w:rFonts w:cs="Arial"/>
          <w:color w:val="auto"/>
          <w:sz w:val="22"/>
          <w:szCs w:val="22"/>
        </w:rPr>
      </w:pPr>
    </w:p>
    <w:p w14:paraId="62BAC0B1" w14:textId="77777777" w:rsidR="0006230D" w:rsidRDefault="0006230D" w:rsidP="00BC311D">
      <w:pPr>
        <w:autoSpaceDE w:val="0"/>
        <w:autoSpaceDN w:val="0"/>
        <w:adjustRightInd w:val="0"/>
        <w:spacing w:after="0"/>
        <w:ind w:firstLine="720"/>
        <w:rPr>
          <w:rFonts w:cs="Arial"/>
          <w:color w:val="auto"/>
          <w:sz w:val="22"/>
          <w:szCs w:val="22"/>
        </w:rPr>
      </w:pPr>
    </w:p>
    <w:p w14:paraId="68654598" w14:textId="6037036E" w:rsidR="007A58DA" w:rsidRPr="0006230D" w:rsidRDefault="006B1139" w:rsidP="0006230D">
      <w:pPr>
        <w:pStyle w:val="Heading1"/>
        <w:rPr>
          <w:rFonts w:eastAsia="Calibri"/>
        </w:rPr>
      </w:pPr>
      <w:r w:rsidRPr="0006230D">
        <w:rPr>
          <w:rFonts w:eastAsia="Calibri"/>
        </w:rPr>
        <w:lastRenderedPageBreak/>
        <w:t>Summary of consultation responses</w:t>
      </w:r>
    </w:p>
    <w:p w14:paraId="102BCBB0" w14:textId="77777777" w:rsidR="007A58DA"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Appendix 1 provides details of the responses to the consultation on the proposed changes to the CTR Scheme. Emails and letters were sent to all those currently in receipt of CTR to advise them of the consultation. The major preceptors and advice agencies were also consulted. </w:t>
      </w:r>
      <w:r w:rsidR="007A58DA" w:rsidRPr="007A58DA">
        <w:rPr>
          <w:rFonts w:eastAsia="Calibri" w:cs="Arial"/>
          <w:color w:val="auto"/>
          <w:sz w:val="22"/>
          <w:szCs w:val="22"/>
          <w:lang w:eastAsia="en-US"/>
        </w:rPr>
        <w:t xml:space="preserve">The only organisation that named themselves was </w:t>
      </w:r>
      <w:r w:rsidR="007A58DA" w:rsidRPr="007A58DA">
        <w:rPr>
          <w:rFonts w:cs="Arial"/>
          <w:color w:val="auto"/>
          <w:sz w:val="22"/>
          <w:szCs w:val="22"/>
        </w:rPr>
        <w:t>Oxford and District Action on Child Poverty.</w:t>
      </w:r>
    </w:p>
    <w:p w14:paraId="405E4F59" w14:textId="77777777" w:rsidR="00A05F90" w:rsidRPr="007A58DA" w:rsidRDefault="00A05F90" w:rsidP="00A05F90">
      <w:pPr>
        <w:pStyle w:val="ListParagraph"/>
        <w:numPr>
          <w:ilvl w:val="0"/>
          <w:numId w:val="0"/>
        </w:numPr>
        <w:ind w:left="720"/>
        <w:rPr>
          <w:rFonts w:cs="Arial"/>
          <w:color w:val="auto"/>
          <w:sz w:val="20"/>
          <w:szCs w:val="20"/>
        </w:rPr>
      </w:pPr>
    </w:p>
    <w:p w14:paraId="7B31CEE3" w14:textId="77777777" w:rsidR="006B1139"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No paper copies were distributed to surgeries and libraries due to Covid 19, although paper copies were sent to those that were unable to go on-line. 9 paper copies were received.</w:t>
      </w:r>
    </w:p>
    <w:p w14:paraId="7D16DAC7" w14:textId="77777777" w:rsidR="00A05F90" w:rsidRPr="00A05F90" w:rsidRDefault="00A05F90" w:rsidP="00A05F90">
      <w:pPr>
        <w:pStyle w:val="ListParagraph"/>
        <w:numPr>
          <w:ilvl w:val="0"/>
          <w:numId w:val="0"/>
        </w:numPr>
        <w:ind w:left="426"/>
        <w:rPr>
          <w:rFonts w:cs="Arial"/>
          <w:color w:val="auto"/>
          <w:sz w:val="20"/>
          <w:szCs w:val="20"/>
        </w:rPr>
      </w:pPr>
    </w:p>
    <w:p w14:paraId="40DAE442" w14:textId="356C4C4D" w:rsidR="006B1139" w:rsidRPr="007A58DA"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Over 400 online responses </w:t>
      </w:r>
      <w:r w:rsidR="00A801B8">
        <w:rPr>
          <w:rFonts w:eastAsia="Calibri" w:cs="Arial"/>
          <w:color w:val="auto"/>
          <w:sz w:val="22"/>
          <w:szCs w:val="22"/>
          <w:lang w:eastAsia="en-US"/>
        </w:rPr>
        <w:t xml:space="preserve">and 9 paper responses </w:t>
      </w:r>
      <w:r w:rsidRPr="007A58DA">
        <w:rPr>
          <w:rFonts w:eastAsia="Calibri" w:cs="Arial"/>
          <w:color w:val="auto"/>
          <w:sz w:val="22"/>
          <w:szCs w:val="22"/>
          <w:lang w:eastAsia="en-US"/>
        </w:rPr>
        <w:t xml:space="preserve">were received, 260 </w:t>
      </w:r>
      <w:r w:rsidR="007A58DA">
        <w:rPr>
          <w:rFonts w:eastAsia="Calibri" w:cs="Arial"/>
          <w:color w:val="auto"/>
          <w:sz w:val="22"/>
          <w:szCs w:val="22"/>
          <w:lang w:eastAsia="en-US"/>
        </w:rPr>
        <w:t xml:space="preserve">responses </w:t>
      </w:r>
      <w:r w:rsidRPr="007A58DA">
        <w:rPr>
          <w:rFonts w:eastAsia="Calibri" w:cs="Arial"/>
          <w:color w:val="auto"/>
          <w:sz w:val="22"/>
          <w:szCs w:val="22"/>
          <w:lang w:eastAsia="en-US"/>
        </w:rPr>
        <w:t xml:space="preserve">were fully completed which is a big increase on the previous year, with many providing very detailed feedback and showing a good understanding of the issues. In summary: </w:t>
      </w:r>
    </w:p>
    <w:p w14:paraId="28739351" w14:textId="77777777" w:rsidR="006B1139" w:rsidRPr="00593C7D" w:rsidRDefault="006B1139" w:rsidP="006B1139">
      <w:pPr>
        <w:spacing w:after="0"/>
        <w:ind w:left="720"/>
        <w:rPr>
          <w:rFonts w:eastAsia="Calibri" w:cs="Arial"/>
          <w:color w:val="auto"/>
          <w:sz w:val="22"/>
          <w:szCs w:val="22"/>
          <w:highlight w:val="yellow"/>
          <w:lang w:eastAsia="en-US"/>
        </w:rPr>
      </w:pPr>
    </w:p>
    <w:p w14:paraId="74E74E02" w14:textId="77777777" w:rsidR="006B1139" w:rsidRPr="00593C7D" w:rsidRDefault="006B1139" w:rsidP="006B1139">
      <w:pPr>
        <w:pStyle w:val="ListParagraph"/>
        <w:numPr>
          <w:ilvl w:val="0"/>
          <w:numId w:val="28"/>
        </w:numPr>
        <w:ind w:left="1134"/>
        <w:rPr>
          <w:sz w:val="22"/>
          <w:szCs w:val="22"/>
        </w:rPr>
      </w:pPr>
      <w:r w:rsidRPr="00593C7D">
        <w:rPr>
          <w:sz w:val="22"/>
          <w:szCs w:val="22"/>
        </w:rPr>
        <w:t>There continues to be strong support for continuing to use income bandings and for the method of uprating the bandings used in the income band scheme, and to extending this to all working age claimants</w:t>
      </w:r>
      <w:r w:rsidR="00565E34">
        <w:rPr>
          <w:sz w:val="22"/>
          <w:szCs w:val="22"/>
        </w:rPr>
        <w:t xml:space="preserve"> (81</w:t>
      </w:r>
      <w:r w:rsidR="005D1C58">
        <w:rPr>
          <w:sz w:val="22"/>
          <w:szCs w:val="22"/>
        </w:rPr>
        <w:t>% of</w:t>
      </w:r>
      <w:r w:rsidR="00565E34">
        <w:rPr>
          <w:sz w:val="22"/>
          <w:szCs w:val="22"/>
        </w:rPr>
        <w:t xml:space="preserve"> responses on this point, and 78</w:t>
      </w:r>
      <w:r w:rsidR="005D1C58">
        <w:rPr>
          <w:sz w:val="22"/>
          <w:szCs w:val="22"/>
        </w:rPr>
        <w:t>% strongly agreed, agreed or were neutral on applying an income banded scheme to all working age claimants)</w:t>
      </w:r>
      <w:r w:rsidRPr="00593C7D">
        <w:rPr>
          <w:sz w:val="22"/>
          <w:szCs w:val="22"/>
        </w:rPr>
        <w:t xml:space="preserve">. </w:t>
      </w:r>
    </w:p>
    <w:p w14:paraId="68A89CC8" w14:textId="77777777" w:rsidR="006B1139" w:rsidRPr="00593C7D" w:rsidRDefault="006B1139" w:rsidP="006B1139">
      <w:pPr>
        <w:pStyle w:val="ListParagraph"/>
        <w:numPr>
          <w:ilvl w:val="0"/>
          <w:numId w:val="28"/>
        </w:numPr>
        <w:ind w:left="1134"/>
        <w:rPr>
          <w:sz w:val="22"/>
          <w:szCs w:val="22"/>
        </w:rPr>
      </w:pPr>
      <w:r w:rsidRPr="00593C7D">
        <w:rPr>
          <w:sz w:val="22"/>
          <w:szCs w:val="22"/>
        </w:rPr>
        <w:t xml:space="preserve">There was also strong support </w:t>
      </w:r>
      <w:r w:rsidR="00565E34">
        <w:rPr>
          <w:sz w:val="22"/>
          <w:szCs w:val="22"/>
        </w:rPr>
        <w:t>(80</w:t>
      </w:r>
      <w:r w:rsidR="005D1C58">
        <w:rPr>
          <w:sz w:val="22"/>
          <w:szCs w:val="22"/>
        </w:rPr>
        <w:t xml:space="preserve">%) </w:t>
      </w:r>
      <w:r w:rsidRPr="00593C7D">
        <w:rPr>
          <w:sz w:val="22"/>
          <w:szCs w:val="22"/>
        </w:rPr>
        <w:t>for continuing to provide 100% support to certain groups of claimants.</w:t>
      </w:r>
    </w:p>
    <w:p w14:paraId="2793A0D0" w14:textId="77777777" w:rsidR="006B1139" w:rsidRPr="00593C7D" w:rsidRDefault="006B1139" w:rsidP="006B1139">
      <w:pPr>
        <w:pStyle w:val="ListParagraph"/>
        <w:numPr>
          <w:ilvl w:val="0"/>
          <w:numId w:val="28"/>
        </w:numPr>
        <w:ind w:left="1134"/>
        <w:rPr>
          <w:sz w:val="22"/>
          <w:szCs w:val="22"/>
        </w:rPr>
      </w:pPr>
      <w:r w:rsidRPr="00593C7D">
        <w:rPr>
          <w:sz w:val="22"/>
          <w:szCs w:val="22"/>
        </w:rPr>
        <w:t>There were differences as to which Income Banded Scheme to support, however when the question was asked as to moving away from a traditional benefit approach to one of</w:t>
      </w:r>
      <w:r w:rsidR="00565E34">
        <w:rPr>
          <w:sz w:val="22"/>
          <w:szCs w:val="22"/>
        </w:rPr>
        <w:t xml:space="preserve"> a discount, this received </w:t>
      </w:r>
      <w:r w:rsidR="004A0BE4">
        <w:rPr>
          <w:sz w:val="22"/>
          <w:szCs w:val="22"/>
        </w:rPr>
        <w:t xml:space="preserve">majority </w:t>
      </w:r>
      <w:r w:rsidRPr="00593C7D">
        <w:rPr>
          <w:sz w:val="22"/>
          <w:szCs w:val="22"/>
        </w:rPr>
        <w:t>support</w:t>
      </w:r>
      <w:r w:rsidR="00565E34">
        <w:rPr>
          <w:sz w:val="22"/>
          <w:szCs w:val="22"/>
        </w:rPr>
        <w:t xml:space="preserve"> (53% said yes,</w:t>
      </w:r>
      <w:r w:rsidR="004A0BE4">
        <w:rPr>
          <w:sz w:val="22"/>
          <w:szCs w:val="22"/>
        </w:rPr>
        <w:t xml:space="preserve"> 27% didn’t know, 20% said no</w:t>
      </w:r>
      <w:r w:rsidR="00565E34">
        <w:rPr>
          <w:sz w:val="22"/>
          <w:szCs w:val="22"/>
        </w:rPr>
        <w:t xml:space="preserve"> )</w:t>
      </w:r>
      <w:r w:rsidRPr="00593C7D">
        <w:rPr>
          <w:sz w:val="22"/>
          <w:szCs w:val="22"/>
        </w:rPr>
        <w:t>.</w:t>
      </w:r>
    </w:p>
    <w:p w14:paraId="658D2493" w14:textId="77777777" w:rsidR="006B1139" w:rsidRPr="00593C7D" w:rsidRDefault="006B1139" w:rsidP="006B1139">
      <w:pPr>
        <w:pStyle w:val="ListParagraph"/>
        <w:numPr>
          <w:ilvl w:val="0"/>
          <w:numId w:val="28"/>
        </w:numPr>
        <w:ind w:left="1134"/>
        <w:rPr>
          <w:sz w:val="22"/>
          <w:szCs w:val="22"/>
        </w:rPr>
      </w:pPr>
      <w:r w:rsidRPr="00593C7D">
        <w:rPr>
          <w:sz w:val="22"/>
          <w:szCs w:val="22"/>
        </w:rPr>
        <w:t>There was little support for capping benefit to a certain Band level</w:t>
      </w:r>
      <w:r w:rsidR="00565E34">
        <w:rPr>
          <w:sz w:val="22"/>
          <w:szCs w:val="22"/>
        </w:rPr>
        <w:t xml:space="preserve"> (25%)</w:t>
      </w:r>
      <w:r w:rsidRPr="00593C7D">
        <w:rPr>
          <w:sz w:val="22"/>
          <w:szCs w:val="22"/>
        </w:rPr>
        <w:t xml:space="preserve">, reducing the Capital savings limit </w:t>
      </w:r>
      <w:r w:rsidR="00565E34">
        <w:rPr>
          <w:sz w:val="22"/>
          <w:szCs w:val="22"/>
        </w:rPr>
        <w:t xml:space="preserve">25% </w:t>
      </w:r>
      <w:r w:rsidRPr="00593C7D">
        <w:rPr>
          <w:sz w:val="22"/>
          <w:szCs w:val="22"/>
        </w:rPr>
        <w:t>and reducing the CTR to 75% where there is at least one</w:t>
      </w:r>
      <w:r>
        <w:rPr>
          <w:sz w:val="22"/>
          <w:szCs w:val="22"/>
        </w:rPr>
        <w:t xml:space="preserve"> non-dependant in </w:t>
      </w:r>
      <w:r w:rsidRPr="00593C7D">
        <w:rPr>
          <w:sz w:val="22"/>
          <w:szCs w:val="22"/>
        </w:rPr>
        <w:t>the household</w:t>
      </w:r>
      <w:r w:rsidR="00565E34">
        <w:rPr>
          <w:sz w:val="22"/>
          <w:szCs w:val="22"/>
        </w:rPr>
        <w:t xml:space="preserve"> (34%)</w:t>
      </w:r>
      <w:r w:rsidRPr="00593C7D">
        <w:rPr>
          <w:sz w:val="22"/>
          <w:szCs w:val="22"/>
        </w:rPr>
        <w:t>.</w:t>
      </w:r>
    </w:p>
    <w:p w14:paraId="1AC4FC89" w14:textId="793A16DB" w:rsidR="006B1139" w:rsidRPr="0006230D" w:rsidRDefault="006B1139" w:rsidP="0006230D">
      <w:pPr>
        <w:pStyle w:val="ListParagraph"/>
        <w:numPr>
          <w:ilvl w:val="0"/>
          <w:numId w:val="28"/>
        </w:numPr>
        <w:ind w:left="1134"/>
        <w:rPr>
          <w:sz w:val="22"/>
          <w:szCs w:val="22"/>
        </w:rPr>
      </w:pPr>
      <w:r w:rsidRPr="00593C7D">
        <w:rPr>
          <w:rFonts w:eastAsia="Calibri" w:cs="Arial"/>
          <w:color w:val="auto"/>
          <w:sz w:val="22"/>
          <w:szCs w:val="22"/>
          <w:lang w:eastAsia="en-US"/>
        </w:rPr>
        <w:t>The majority of respondents did not want to see an increase in Council Tax or Fees and Charges, nor cutting other services to fund the CTR Scheme.</w:t>
      </w:r>
    </w:p>
    <w:p w14:paraId="5BAC0D0A" w14:textId="317F2C48" w:rsidR="006B1139" w:rsidRDefault="00644567" w:rsidP="0006230D">
      <w:pPr>
        <w:pStyle w:val="Heading1"/>
      </w:pPr>
      <w:r>
        <w:t>Implementation of the Resp</w:t>
      </w:r>
      <w:r w:rsidR="006B1139" w:rsidRPr="00392B17">
        <w:t>onses</w:t>
      </w:r>
    </w:p>
    <w:p w14:paraId="727D27E6" w14:textId="77777777" w:rsidR="006B1139" w:rsidRDefault="006B1139" w:rsidP="0006230D">
      <w:pPr>
        <w:pStyle w:val="Heading1"/>
      </w:pPr>
      <w:r w:rsidRPr="00392B17">
        <w:t>Making a minimum charge</w:t>
      </w:r>
    </w:p>
    <w:p w14:paraId="467098A4" w14:textId="77777777" w:rsidR="006B1139" w:rsidRPr="00392B17" w:rsidRDefault="006B1139" w:rsidP="00BC311D">
      <w:pPr>
        <w:autoSpaceDE w:val="0"/>
        <w:autoSpaceDN w:val="0"/>
        <w:adjustRightInd w:val="0"/>
        <w:spacing w:after="0"/>
        <w:ind w:firstLine="720"/>
        <w:rPr>
          <w:rFonts w:cs="Arial"/>
          <w:b/>
          <w:color w:val="auto"/>
          <w:sz w:val="22"/>
          <w:szCs w:val="22"/>
        </w:rPr>
      </w:pPr>
    </w:p>
    <w:p w14:paraId="5E09B9F4" w14:textId="213B725E" w:rsidR="003B675E" w:rsidRPr="0006230D" w:rsidRDefault="003B675E" w:rsidP="0006230D">
      <w:pPr>
        <w:pStyle w:val="ListParagraph"/>
        <w:numPr>
          <w:ilvl w:val="0"/>
          <w:numId w:val="6"/>
        </w:numPr>
        <w:rPr>
          <w:sz w:val="22"/>
          <w:szCs w:val="22"/>
        </w:rPr>
      </w:pPr>
      <w:r>
        <w:rPr>
          <w:rFonts w:cs="Arial"/>
          <w:sz w:val="22"/>
          <w:szCs w:val="22"/>
        </w:rPr>
        <w:t>In preparing its Consultation Budget presented to Cabinet on 9</w:t>
      </w:r>
      <w:r w:rsidRPr="00657E26">
        <w:rPr>
          <w:rFonts w:cs="Arial"/>
          <w:sz w:val="22"/>
          <w:szCs w:val="22"/>
          <w:vertAlign w:val="superscript"/>
        </w:rPr>
        <w:t>th</w:t>
      </w:r>
      <w:r>
        <w:rPr>
          <w:rFonts w:cs="Arial"/>
          <w:sz w:val="22"/>
          <w:szCs w:val="22"/>
        </w:rPr>
        <w:t xml:space="preserve"> December the Council</w:t>
      </w:r>
      <w:r w:rsidR="004F2A60">
        <w:rPr>
          <w:rFonts w:cs="Arial"/>
          <w:sz w:val="22"/>
          <w:szCs w:val="22"/>
        </w:rPr>
        <w:t>,</w:t>
      </w:r>
      <w:r>
        <w:rPr>
          <w:rFonts w:cs="Arial"/>
          <w:sz w:val="22"/>
          <w:szCs w:val="22"/>
        </w:rPr>
        <w:t xml:space="preserve"> in determining its Corporate Priorities</w:t>
      </w:r>
      <w:r w:rsidR="004F2A60">
        <w:rPr>
          <w:rFonts w:cs="Arial"/>
          <w:sz w:val="22"/>
          <w:szCs w:val="22"/>
        </w:rPr>
        <w:t>,</w:t>
      </w:r>
      <w:r>
        <w:rPr>
          <w:rFonts w:cs="Arial"/>
          <w:sz w:val="22"/>
          <w:szCs w:val="22"/>
        </w:rPr>
        <w:t xml:space="preserve"> </w:t>
      </w:r>
      <w:r w:rsidR="007635D4">
        <w:rPr>
          <w:rFonts w:cs="Arial"/>
          <w:sz w:val="22"/>
          <w:szCs w:val="22"/>
        </w:rPr>
        <w:t xml:space="preserve">resolved to </w:t>
      </w:r>
      <w:r>
        <w:rPr>
          <w:rFonts w:cs="Arial"/>
          <w:sz w:val="22"/>
          <w:szCs w:val="22"/>
        </w:rPr>
        <w:t xml:space="preserve">continue to provide maximum financial support for residents in receipt of CTR, factoring in the cost of such support </w:t>
      </w:r>
      <w:r w:rsidR="007635D4">
        <w:rPr>
          <w:rFonts w:cs="Arial"/>
          <w:sz w:val="22"/>
          <w:szCs w:val="22"/>
        </w:rPr>
        <w:t xml:space="preserve">to the Council </w:t>
      </w:r>
      <w:r>
        <w:rPr>
          <w:rFonts w:cs="Arial"/>
          <w:sz w:val="22"/>
          <w:szCs w:val="22"/>
        </w:rPr>
        <w:t xml:space="preserve">into its budget plans. This is in line with the consultation responses which equally </w:t>
      </w:r>
      <w:r w:rsidR="007635D4">
        <w:rPr>
          <w:rFonts w:cs="Arial"/>
          <w:sz w:val="22"/>
          <w:szCs w:val="22"/>
        </w:rPr>
        <w:t>indicated little support for capping the amount of financial support provided</w:t>
      </w:r>
      <w:r w:rsidR="006B1139">
        <w:rPr>
          <w:rFonts w:cs="Arial"/>
          <w:sz w:val="22"/>
          <w:szCs w:val="22"/>
        </w:rPr>
        <w:t xml:space="preserve"> and as such no further work wi</w:t>
      </w:r>
      <w:r w:rsidR="00644567">
        <w:rPr>
          <w:rFonts w:cs="Arial"/>
          <w:sz w:val="22"/>
          <w:szCs w:val="22"/>
        </w:rPr>
        <w:t>l</w:t>
      </w:r>
      <w:r w:rsidR="006B1139">
        <w:rPr>
          <w:rFonts w:cs="Arial"/>
          <w:sz w:val="22"/>
          <w:szCs w:val="22"/>
        </w:rPr>
        <w:t>l be undertaken on this amendment to the scheme</w:t>
      </w:r>
      <w:r w:rsidR="007635D4">
        <w:rPr>
          <w:rFonts w:cs="Arial"/>
          <w:sz w:val="22"/>
          <w:szCs w:val="22"/>
        </w:rPr>
        <w:t xml:space="preserve"> for the coming year.</w:t>
      </w:r>
    </w:p>
    <w:p w14:paraId="362FAE04" w14:textId="77777777" w:rsidR="006B1139" w:rsidRPr="0092468D" w:rsidRDefault="006B1139" w:rsidP="0006230D">
      <w:pPr>
        <w:pStyle w:val="Heading1"/>
      </w:pPr>
      <w:r w:rsidRPr="0092468D">
        <w:t>Income Banded Scheme</w:t>
      </w:r>
    </w:p>
    <w:p w14:paraId="28306ECC" w14:textId="0E7E817D" w:rsidR="00A05F90" w:rsidRPr="0006230D" w:rsidRDefault="00A801B8" w:rsidP="0006230D">
      <w:pPr>
        <w:pStyle w:val="ListParagraph"/>
        <w:numPr>
          <w:ilvl w:val="0"/>
          <w:numId w:val="6"/>
        </w:numPr>
        <w:rPr>
          <w:sz w:val="22"/>
          <w:szCs w:val="22"/>
        </w:rPr>
      </w:pPr>
      <w:r>
        <w:rPr>
          <w:sz w:val="22"/>
          <w:szCs w:val="22"/>
        </w:rPr>
        <w:t xml:space="preserve">Currently, the Income Banded Scheme only applies to those claimants in receipt of Universal Credit. </w:t>
      </w:r>
      <w:r w:rsidR="006B1139" w:rsidRPr="0092468D">
        <w:rPr>
          <w:sz w:val="22"/>
          <w:szCs w:val="22"/>
        </w:rPr>
        <w:t>The</w:t>
      </w:r>
      <w:r w:rsidR="00644567" w:rsidRPr="0092468D">
        <w:rPr>
          <w:sz w:val="22"/>
          <w:szCs w:val="22"/>
        </w:rPr>
        <w:t xml:space="preserve"> consultation response gave str</w:t>
      </w:r>
      <w:r w:rsidR="006B1139" w:rsidRPr="0092468D">
        <w:rPr>
          <w:sz w:val="22"/>
          <w:szCs w:val="22"/>
        </w:rPr>
        <w:t>ong support to make cha</w:t>
      </w:r>
      <w:r w:rsidR="00644567" w:rsidRPr="0092468D">
        <w:rPr>
          <w:sz w:val="22"/>
          <w:szCs w:val="22"/>
        </w:rPr>
        <w:t>nges to</w:t>
      </w:r>
      <w:r>
        <w:rPr>
          <w:sz w:val="22"/>
          <w:szCs w:val="22"/>
        </w:rPr>
        <w:t xml:space="preserve"> move to an</w:t>
      </w:r>
      <w:r w:rsidR="006B1139" w:rsidRPr="0092468D">
        <w:rPr>
          <w:sz w:val="22"/>
          <w:szCs w:val="22"/>
        </w:rPr>
        <w:t xml:space="preserve"> income banded scheme </w:t>
      </w:r>
      <w:r w:rsidR="00397DB5" w:rsidRPr="0092468D">
        <w:rPr>
          <w:sz w:val="22"/>
          <w:szCs w:val="22"/>
        </w:rPr>
        <w:t xml:space="preserve">for all working age claimants, with no minimum payment, thus supporting the most vulnerable households in continuing to receive 100% CTR. </w:t>
      </w:r>
      <w:r>
        <w:rPr>
          <w:sz w:val="22"/>
          <w:szCs w:val="22"/>
        </w:rPr>
        <w:t xml:space="preserve">Claimants will not need to report minor changes in income if any change has no effect on the income band. </w:t>
      </w:r>
      <w:r w:rsidR="00397DB5" w:rsidRPr="0092468D">
        <w:rPr>
          <w:sz w:val="22"/>
          <w:szCs w:val="22"/>
        </w:rPr>
        <w:t xml:space="preserve">This </w:t>
      </w:r>
      <w:r w:rsidR="001F588F" w:rsidRPr="0092468D">
        <w:rPr>
          <w:sz w:val="22"/>
          <w:szCs w:val="22"/>
        </w:rPr>
        <w:t xml:space="preserve">change </w:t>
      </w:r>
      <w:r w:rsidR="00644567" w:rsidRPr="0092468D">
        <w:rPr>
          <w:sz w:val="22"/>
          <w:szCs w:val="22"/>
        </w:rPr>
        <w:t xml:space="preserve">will </w:t>
      </w:r>
      <w:r w:rsidR="009C4452" w:rsidRPr="0092468D">
        <w:rPr>
          <w:sz w:val="22"/>
          <w:szCs w:val="22"/>
        </w:rPr>
        <w:t xml:space="preserve">then </w:t>
      </w:r>
      <w:r w:rsidR="00397DB5" w:rsidRPr="0092468D">
        <w:rPr>
          <w:sz w:val="22"/>
          <w:szCs w:val="22"/>
        </w:rPr>
        <w:t xml:space="preserve">allow the Council to reduce the amount </w:t>
      </w:r>
      <w:r w:rsidR="00397DB5" w:rsidRPr="0092468D">
        <w:rPr>
          <w:sz w:val="22"/>
          <w:szCs w:val="22"/>
        </w:rPr>
        <w:lastRenderedPageBreak/>
        <w:t xml:space="preserve">of administration of the CTR scheme and realise £120k worth of </w:t>
      </w:r>
      <w:r w:rsidR="009C4452" w:rsidRPr="0092468D">
        <w:rPr>
          <w:sz w:val="22"/>
          <w:szCs w:val="22"/>
        </w:rPr>
        <w:t xml:space="preserve">staff </w:t>
      </w:r>
      <w:r w:rsidR="00397DB5" w:rsidRPr="0092468D">
        <w:rPr>
          <w:sz w:val="22"/>
          <w:szCs w:val="22"/>
        </w:rPr>
        <w:t xml:space="preserve">savings already budgeted for. </w:t>
      </w:r>
      <w:r w:rsidR="0092468D" w:rsidRPr="0092468D">
        <w:rPr>
          <w:rFonts w:cs="Arial"/>
          <w:sz w:val="22"/>
          <w:szCs w:val="22"/>
        </w:rPr>
        <w:t xml:space="preserve">By moving to this type of approach the application process is much </w:t>
      </w:r>
      <w:r w:rsidR="00417898">
        <w:rPr>
          <w:rFonts w:cs="Arial"/>
          <w:sz w:val="22"/>
          <w:szCs w:val="22"/>
        </w:rPr>
        <w:t xml:space="preserve">easier, </w:t>
      </w:r>
      <w:r w:rsidR="0092468D" w:rsidRPr="0092468D">
        <w:rPr>
          <w:rFonts w:cs="Arial"/>
          <w:sz w:val="22"/>
          <w:szCs w:val="22"/>
        </w:rPr>
        <w:t>quicker and simpler for the customer, and easier for staff to process the discount. It is based on trust, easily understood, and a review process is built in to check that correct information has been received. Reduced wait times reduces customer contact and repeat contact, and gives a better service.</w:t>
      </w:r>
    </w:p>
    <w:p w14:paraId="651755E2" w14:textId="453D01E0" w:rsidR="00A05F90" w:rsidRPr="0006230D" w:rsidRDefault="0050622D" w:rsidP="0006230D">
      <w:pPr>
        <w:pStyle w:val="ListParagraph"/>
        <w:numPr>
          <w:ilvl w:val="0"/>
          <w:numId w:val="6"/>
        </w:numPr>
        <w:rPr>
          <w:sz w:val="22"/>
          <w:szCs w:val="22"/>
        </w:rPr>
      </w:pPr>
      <w:r w:rsidRPr="007A58DA">
        <w:rPr>
          <w:sz w:val="22"/>
          <w:szCs w:val="22"/>
        </w:rPr>
        <w:t>The 2020/21</w:t>
      </w:r>
      <w:r w:rsidR="00705FA4" w:rsidRPr="007A58DA">
        <w:rPr>
          <w:sz w:val="22"/>
          <w:szCs w:val="22"/>
        </w:rPr>
        <w:t xml:space="preserve"> CTR </w:t>
      </w:r>
      <w:r w:rsidR="0003295F" w:rsidRPr="007A58DA">
        <w:rPr>
          <w:sz w:val="22"/>
          <w:szCs w:val="22"/>
        </w:rPr>
        <w:t>S</w:t>
      </w:r>
      <w:r w:rsidR="00705FA4" w:rsidRPr="007A58DA">
        <w:rPr>
          <w:sz w:val="22"/>
          <w:szCs w:val="22"/>
        </w:rPr>
        <w:t xml:space="preserve">cheme, which was approved on </w:t>
      </w:r>
      <w:r w:rsidRPr="007A58DA">
        <w:rPr>
          <w:sz w:val="22"/>
          <w:szCs w:val="22"/>
        </w:rPr>
        <w:t>27 January 2020</w:t>
      </w:r>
      <w:r w:rsidR="00705FA4" w:rsidRPr="007A58DA">
        <w:rPr>
          <w:sz w:val="22"/>
          <w:szCs w:val="22"/>
        </w:rPr>
        <w:t xml:space="preserve">, allows for the </w:t>
      </w:r>
      <w:r w:rsidR="0003295F" w:rsidRPr="007A58DA">
        <w:rPr>
          <w:sz w:val="22"/>
          <w:szCs w:val="22"/>
        </w:rPr>
        <w:t>I</w:t>
      </w:r>
      <w:r w:rsidR="00705FA4" w:rsidRPr="007A58DA">
        <w:rPr>
          <w:sz w:val="22"/>
          <w:szCs w:val="22"/>
        </w:rPr>
        <w:t xml:space="preserve">ncome </w:t>
      </w:r>
      <w:r w:rsidR="0003295F" w:rsidRPr="007A58DA">
        <w:rPr>
          <w:sz w:val="22"/>
          <w:szCs w:val="22"/>
        </w:rPr>
        <w:t>B</w:t>
      </w:r>
      <w:r w:rsidR="00705FA4" w:rsidRPr="007A58DA">
        <w:rPr>
          <w:sz w:val="22"/>
          <w:szCs w:val="22"/>
        </w:rPr>
        <w:t xml:space="preserve">and </w:t>
      </w:r>
      <w:r w:rsidR="0003295F" w:rsidRPr="007A58DA">
        <w:rPr>
          <w:sz w:val="22"/>
          <w:szCs w:val="22"/>
        </w:rPr>
        <w:t>S</w:t>
      </w:r>
      <w:r w:rsidR="00705FA4" w:rsidRPr="007A58DA">
        <w:rPr>
          <w:sz w:val="22"/>
          <w:szCs w:val="22"/>
        </w:rPr>
        <w:t>cheme for residents on Universal Credit to be up</w:t>
      </w:r>
      <w:r w:rsidR="00FD2B2F" w:rsidRPr="007A58DA">
        <w:rPr>
          <w:sz w:val="22"/>
          <w:szCs w:val="22"/>
        </w:rPr>
        <w:t>-</w:t>
      </w:r>
      <w:r w:rsidR="00705FA4" w:rsidRPr="007A58DA">
        <w:rPr>
          <w:sz w:val="22"/>
          <w:szCs w:val="22"/>
        </w:rPr>
        <w:t>rated annually in line with changes to the National Minimum Wage (NMW) and the Oxford Living Wage (OLW), and that the benefit cap be uprated in line with inflation (based on the Retail Price</w:t>
      </w:r>
      <w:r w:rsidRPr="007A58DA">
        <w:rPr>
          <w:sz w:val="22"/>
          <w:szCs w:val="22"/>
        </w:rPr>
        <w:t xml:space="preserve"> Index figure for September 2019</w:t>
      </w:r>
      <w:r w:rsidR="00705FA4" w:rsidRPr="007A58DA">
        <w:rPr>
          <w:sz w:val="22"/>
          <w:szCs w:val="22"/>
        </w:rPr>
        <w:t>). Whilst it is not necessary to consult on this annually, it was included in the consultation to check that it is still relevant.</w:t>
      </w:r>
    </w:p>
    <w:p w14:paraId="412334DA" w14:textId="212F8FCB" w:rsidR="00705D5E" w:rsidRPr="00417898" w:rsidRDefault="002C124B" w:rsidP="00417898">
      <w:pPr>
        <w:pStyle w:val="ListParagraph"/>
        <w:numPr>
          <w:ilvl w:val="0"/>
          <w:numId w:val="6"/>
        </w:numPr>
        <w:rPr>
          <w:sz w:val="22"/>
          <w:szCs w:val="22"/>
        </w:rPr>
      </w:pPr>
      <w:r w:rsidRPr="007A58DA">
        <w:rPr>
          <w:rFonts w:eastAsiaTheme="minorHAnsi" w:cs="Arial"/>
          <w:color w:val="auto"/>
          <w:sz w:val="22"/>
          <w:szCs w:val="22"/>
          <w:lang w:eastAsia="en-US"/>
        </w:rPr>
        <w:t xml:space="preserve">The existing </w:t>
      </w:r>
      <w:r w:rsidR="0003295F" w:rsidRPr="007A58DA">
        <w:rPr>
          <w:rFonts w:eastAsiaTheme="minorHAnsi" w:cs="Arial"/>
          <w:color w:val="auto"/>
          <w:sz w:val="22"/>
          <w:szCs w:val="22"/>
          <w:lang w:eastAsia="en-US"/>
        </w:rPr>
        <w:t>I</w:t>
      </w:r>
      <w:r w:rsidRPr="007A58DA">
        <w:rPr>
          <w:rFonts w:eastAsiaTheme="minorHAnsi" w:cs="Arial"/>
          <w:color w:val="auto"/>
          <w:sz w:val="22"/>
          <w:szCs w:val="22"/>
          <w:lang w:eastAsia="en-US"/>
        </w:rPr>
        <w:t xml:space="preserve">ncome </w:t>
      </w:r>
      <w:r w:rsidR="0003295F" w:rsidRPr="007A58DA">
        <w:rPr>
          <w:rFonts w:eastAsiaTheme="minorHAnsi" w:cs="Arial"/>
          <w:color w:val="auto"/>
          <w:sz w:val="22"/>
          <w:szCs w:val="22"/>
          <w:lang w:eastAsia="en-US"/>
        </w:rPr>
        <w:t>B</w:t>
      </w:r>
      <w:r w:rsidRPr="007A58DA">
        <w:rPr>
          <w:rFonts w:eastAsiaTheme="minorHAnsi" w:cs="Arial"/>
          <w:color w:val="auto"/>
          <w:sz w:val="22"/>
          <w:szCs w:val="22"/>
          <w:lang w:eastAsia="en-US"/>
        </w:rPr>
        <w:t>andings used to determine t</w:t>
      </w:r>
      <w:r w:rsidR="00296BD9" w:rsidRPr="007A58DA">
        <w:rPr>
          <w:rFonts w:eastAsiaTheme="minorHAnsi" w:cs="Arial"/>
          <w:color w:val="auto"/>
          <w:sz w:val="22"/>
          <w:szCs w:val="22"/>
          <w:lang w:eastAsia="en-US"/>
        </w:rPr>
        <w:t>he amount of Council Tax Reduction</w:t>
      </w:r>
      <w:r w:rsidRPr="007A58DA">
        <w:rPr>
          <w:rFonts w:eastAsiaTheme="minorHAnsi" w:cs="Arial"/>
          <w:color w:val="auto"/>
          <w:sz w:val="22"/>
          <w:szCs w:val="22"/>
          <w:lang w:eastAsia="en-US"/>
        </w:rPr>
        <w:t xml:space="preserve"> provided </w:t>
      </w:r>
      <w:r w:rsidR="0050622D" w:rsidRPr="007A58DA">
        <w:rPr>
          <w:rFonts w:eastAsiaTheme="minorHAnsi" w:cs="Arial"/>
          <w:color w:val="auto"/>
          <w:sz w:val="22"/>
          <w:szCs w:val="22"/>
          <w:lang w:eastAsia="en-US"/>
        </w:rPr>
        <w:t>under the 2020-21</w:t>
      </w:r>
      <w:r w:rsidR="00705D5E" w:rsidRPr="007A58DA">
        <w:rPr>
          <w:rFonts w:eastAsiaTheme="minorHAnsi" w:cs="Arial"/>
          <w:color w:val="auto"/>
          <w:sz w:val="22"/>
          <w:szCs w:val="22"/>
          <w:lang w:eastAsia="en-US"/>
        </w:rPr>
        <w:t xml:space="preserve"> CTR </w:t>
      </w:r>
      <w:r w:rsidR="0003295F" w:rsidRPr="007A58DA">
        <w:rPr>
          <w:rFonts w:eastAsiaTheme="minorHAnsi" w:cs="Arial"/>
          <w:color w:val="auto"/>
          <w:sz w:val="22"/>
          <w:szCs w:val="22"/>
          <w:lang w:eastAsia="en-US"/>
        </w:rPr>
        <w:t>S</w:t>
      </w:r>
      <w:r w:rsidR="00705D5E" w:rsidRPr="007A58DA">
        <w:rPr>
          <w:rFonts w:eastAsiaTheme="minorHAnsi" w:cs="Arial"/>
          <w:color w:val="auto"/>
          <w:sz w:val="22"/>
          <w:szCs w:val="22"/>
          <w:lang w:eastAsia="en-US"/>
        </w:rPr>
        <w:t>cheme</w:t>
      </w:r>
      <w:r w:rsidR="00393648">
        <w:rPr>
          <w:rFonts w:eastAsiaTheme="minorHAnsi" w:cs="Arial"/>
          <w:color w:val="auto"/>
          <w:sz w:val="22"/>
          <w:szCs w:val="22"/>
          <w:lang w:eastAsia="en-US"/>
        </w:rPr>
        <w:t xml:space="preserve"> together with the number of claimants</w:t>
      </w:r>
      <w:r w:rsidR="00BE3055">
        <w:rPr>
          <w:rFonts w:eastAsiaTheme="minorHAnsi" w:cs="Arial"/>
          <w:color w:val="auto"/>
          <w:sz w:val="22"/>
          <w:szCs w:val="22"/>
          <w:lang w:eastAsia="en-US"/>
        </w:rPr>
        <w:t xml:space="preserve"> on Universal Credit</w:t>
      </w:r>
      <w:r w:rsidR="0029764B">
        <w:rPr>
          <w:rFonts w:eastAsiaTheme="minorHAnsi" w:cs="Arial"/>
          <w:color w:val="auto"/>
          <w:sz w:val="22"/>
          <w:szCs w:val="22"/>
          <w:lang w:eastAsia="en-US"/>
        </w:rPr>
        <w:t xml:space="preserve"> in</w:t>
      </w:r>
      <w:r w:rsidR="00393648">
        <w:rPr>
          <w:rFonts w:eastAsiaTheme="minorHAnsi" w:cs="Arial"/>
          <w:color w:val="auto"/>
          <w:sz w:val="22"/>
          <w:szCs w:val="22"/>
          <w:lang w:eastAsia="en-US"/>
        </w:rPr>
        <w:t xml:space="preserve"> each band </w:t>
      </w:r>
      <w:r w:rsidRPr="007A58DA">
        <w:rPr>
          <w:rFonts w:eastAsiaTheme="minorHAnsi" w:cs="Arial"/>
          <w:color w:val="auto"/>
          <w:sz w:val="22"/>
          <w:szCs w:val="22"/>
          <w:lang w:eastAsia="en-US"/>
        </w:rPr>
        <w:t>are shown in Table 1 below.</w:t>
      </w:r>
      <w:r w:rsidR="00D8450C">
        <w:rPr>
          <w:rFonts w:eastAsiaTheme="minorHAnsi" w:cs="Arial"/>
          <w:color w:val="auto"/>
          <w:sz w:val="22"/>
          <w:szCs w:val="22"/>
          <w:lang w:eastAsia="en-US"/>
        </w:rPr>
        <w:t xml:space="preserve"> There are </w:t>
      </w:r>
      <w:r w:rsidR="00C57241" w:rsidRPr="00C57241">
        <w:rPr>
          <w:rFonts w:eastAsiaTheme="minorHAnsi" w:cs="Arial"/>
          <w:color w:val="auto"/>
          <w:sz w:val="22"/>
          <w:szCs w:val="22"/>
          <w:lang w:eastAsia="en-US"/>
        </w:rPr>
        <w:t>approximately 2,445</w:t>
      </w:r>
      <w:r w:rsidR="00C57241">
        <w:rPr>
          <w:rFonts w:eastAsiaTheme="minorHAnsi" w:cs="Arial"/>
          <w:color w:val="auto"/>
          <w:sz w:val="22"/>
          <w:szCs w:val="22"/>
          <w:lang w:eastAsia="en-US"/>
        </w:rPr>
        <w:t xml:space="preserve"> </w:t>
      </w:r>
      <w:r w:rsidR="00D8450C">
        <w:rPr>
          <w:rFonts w:eastAsiaTheme="minorHAnsi" w:cs="Arial"/>
          <w:color w:val="auto"/>
          <w:sz w:val="22"/>
          <w:szCs w:val="22"/>
          <w:lang w:eastAsia="en-US"/>
        </w:rPr>
        <w:t xml:space="preserve">working age claimants not </w:t>
      </w:r>
      <w:r w:rsidR="00C57241">
        <w:rPr>
          <w:rFonts w:eastAsiaTheme="minorHAnsi" w:cs="Arial"/>
          <w:color w:val="auto"/>
          <w:sz w:val="22"/>
          <w:szCs w:val="22"/>
          <w:lang w:eastAsia="en-US"/>
        </w:rPr>
        <w:t xml:space="preserve">in receipt of UC and therefore not </w:t>
      </w:r>
      <w:r w:rsidR="00D8450C">
        <w:rPr>
          <w:rFonts w:eastAsiaTheme="minorHAnsi" w:cs="Arial"/>
          <w:color w:val="auto"/>
          <w:sz w:val="22"/>
          <w:szCs w:val="22"/>
          <w:lang w:eastAsia="en-US"/>
        </w:rPr>
        <w:t xml:space="preserve">on the </w:t>
      </w:r>
      <w:r w:rsidR="00C57241">
        <w:rPr>
          <w:rFonts w:eastAsiaTheme="minorHAnsi" w:cs="Arial"/>
          <w:color w:val="auto"/>
          <w:sz w:val="22"/>
          <w:szCs w:val="22"/>
          <w:lang w:eastAsia="en-US"/>
        </w:rPr>
        <w:t>current Income Banded Scheme</w:t>
      </w:r>
      <w:r w:rsidR="00D8450C">
        <w:rPr>
          <w:rFonts w:eastAsiaTheme="minorHAnsi" w:cs="Arial"/>
          <w:color w:val="auto"/>
          <w:sz w:val="22"/>
          <w:szCs w:val="22"/>
          <w:lang w:eastAsia="en-US"/>
        </w:rPr>
        <w:t>.</w:t>
      </w:r>
    </w:p>
    <w:p w14:paraId="7EAF6177" w14:textId="77777777" w:rsidR="002C124B" w:rsidRPr="0050622D" w:rsidRDefault="002C124B" w:rsidP="00BA507F">
      <w:pPr>
        <w:spacing w:after="0"/>
        <w:ind w:firstLine="720"/>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gridCol w:w="2293"/>
      </w:tblGrid>
      <w:tr w:rsidR="007635D4" w:rsidRPr="00E46AEC" w14:paraId="5708E30F" w14:textId="77777777" w:rsidTr="007635D4">
        <w:tc>
          <w:tcPr>
            <w:tcW w:w="8519" w:type="dxa"/>
            <w:gridSpan w:val="4"/>
          </w:tcPr>
          <w:p w14:paraId="293AFD01" w14:textId="77777777" w:rsidR="007635D4" w:rsidRPr="0050622D" w:rsidRDefault="007635D4" w:rsidP="002C124B">
            <w:pPr>
              <w:spacing w:after="0"/>
              <w:rPr>
                <w:b/>
                <w:color w:val="auto"/>
                <w:sz w:val="22"/>
                <w:szCs w:val="22"/>
              </w:rPr>
            </w:pPr>
            <w:r>
              <w:rPr>
                <w:b/>
                <w:color w:val="auto"/>
                <w:sz w:val="22"/>
                <w:szCs w:val="22"/>
              </w:rPr>
              <w:t>Table 1 : Income Bandings for existing CTR scheme</w:t>
            </w:r>
          </w:p>
        </w:tc>
      </w:tr>
      <w:tr w:rsidR="00592F1B" w:rsidRPr="00E46AEC" w14:paraId="007A5B90" w14:textId="77777777" w:rsidTr="00592F1B">
        <w:tc>
          <w:tcPr>
            <w:tcW w:w="1090" w:type="dxa"/>
          </w:tcPr>
          <w:p w14:paraId="0AFB8C2C" w14:textId="77777777" w:rsidR="00592F1B" w:rsidRPr="0050622D" w:rsidRDefault="00592F1B" w:rsidP="002C124B">
            <w:pPr>
              <w:spacing w:after="0"/>
              <w:rPr>
                <w:b/>
                <w:color w:val="auto"/>
                <w:sz w:val="22"/>
                <w:szCs w:val="22"/>
              </w:rPr>
            </w:pPr>
            <w:r w:rsidRPr="0050622D">
              <w:rPr>
                <w:b/>
                <w:color w:val="auto"/>
                <w:sz w:val="22"/>
                <w:szCs w:val="22"/>
              </w:rPr>
              <w:t>Band</w:t>
            </w:r>
          </w:p>
        </w:tc>
        <w:tc>
          <w:tcPr>
            <w:tcW w:w="2545" w:type="dxa"/>
          </w:tcPr>
          <w:p w14:paraId="6F3D1FAA" w14:textId="77777777" w:rsidR="00592F1B" w:rsidRPr="0050622D" w:rsidRDefault="00592F1B" w:rsidP="002C124B">
            <w:pPr>
              <w:spacing w:after="0"/>
              <w:rPr>
                <w:b/>
                <w:color w:val="auto"/>
                <w:sz w:val="22"/>
                <w:szCs w:val="22"/>
              </w:rPr>
            </w:pPr>
            <w:r w:rsidRPr="0050622D">
              <w:rPr>
                <w:b/>
                <w:color w:val="auto"/>
                <w:sz w:val="22"/>
                <w:szCs w:val="22"/>
              </w:rPr>
              <w:t>Weekly Income</w:t>
            </w:r>
          </w:p>
        </w:tc>
        <w:tc>
          <w:tcPr>
            <w:tcW w:w="2591" w:type="dxa"/>
          </w:tcPr>
          <w:p w14:paraId="16F4B8FE" w14:textId="77777777" w:rsidR="00592F1B" w:rsidRPr="0050622D" w:rsidRDefault="00592F1B" w:rsidP="002C124B">
            <w:pPr>
              <w:spacing w:after="0"/>
              <w:rPr>
                <w:b/>
                <w:color w:val="auto"/>
                <w:sz w:val="22"/>
                <w:szCs w:val="22"/>
              </w:rPr>
            </w:pPr>
            <w:r w:rsidRPr="0050622D">
              <w:rPr>
                <w:b/>
                <w:color w:val="auto"/>
                <w:sz w:val="22"/>
                <w:szCs w:val="22"/>
              </w:rPr>
              <w:t>Discount received</w:t>
            </w:r>
          </w:p>
        </w:tc>
        <w:tc>
          <w:tcPr>
            <w:tcW w:w="2293" w:type="dxa"/>
          </w:tcPr>
          <w:p w14:paraId="4569A20B" w14:textId="77777777" w:rsidR="00592F1B" w:rsidRPr="0050622D" w:rsidRDefault="00592F1B" w:rsidP="002C124B">
            <w:pPr>
              <w:spacing w:after="0"/>
              <w:rPr>
                <w:b/>
                <w:color w:val="auto"/>
                <w:sz w:val="22"/>
                <w:szCs w:val="22"/>
              </w:rPr>
            </w:pPr>
            <w:r w:rsidRPr="0050622D">
              <w:rPr>
                <w:b/>
                <w:color w:val="auto"/>
                <w:sz w:val="22"/>
                <w:szCs w:val="22"/>
              </w:rPr>
              <w:t>Numbers in each band</w:t>
            </w:r>
            <w:r w:rsidR="001C7159">
              <w:rPr>
                <w:b/>
                <w:color w:val="auto"/>
                <w:sz w:val="22"/>
                <w:szCs w:val="22"/>
              </w:rPr>
              <w:t xml:space="preserve"> </w:t>
            </w:r>
            <w:r w:rsidR="002379C8">
              <w:rPr>
                <w:b/>
                <w:color w:val="auto"/>
                <w:sz w:val="22"/>
                <w:szCs w:val="22"/>
              </w:rPr>
              <w:t>(at 1/12/20)</w:t>
            </w:r>
          </w:p>
        </w:tc>
      </w:tr>
      <w:tr w:rsidR="00592F1B" w:rsidRPr="00E46AEC" w14:paraId="6599FE21" w14:textId="77777777" w:rsidTr="00592F1B">
        <w:tc>
          <w:tcPr>
            <w:tcW w:w="1090" w:type="dxa"/>
          </w:tcPr>
          <w:p w14:paraId="71175570" w14:textId="77777777" w:rsidR="00592F1B" w:rsidRPr="0050622D" w:rsidRDefault="00592F1B" w:rsidP="00CB56A0">
            <w:pPr>
              <w:spacing w:after="0"/>
              <w:rPr>
                <w:color w:val="auto"/>
                <w:sz w:val="22"/>
                <w:szCs w:val="22"/>
              </w:rPr>
            </w:pPr>
            <w:r w:rsidRPr="0050622D">
              <w:rPr>
                <w:color w:val="auto"/>
                <w:sz w:val="22"/>
                <w:szCs w:val="22"/>
              </w:rPr>
              <w:t>1</w:t>
            </w:r>
          </w:p>
        </w:tc>
        <w:tc>
          <w:tcPr>
            <w:tcW w:w="2545" w:type="dxa"/>
          </w:tcPr>
          <w:p w14:paraId="27359763" w14:textId="77777777" w:rsidR="00592F1B" w:rsidRPr="0050622D" w:rsidRDefault="0050622D" w:rsidP="00CB56A0">
            <w:pPr>
              <w:spacing w:after="0"/>
              <w:rPr>
                <w:color w:val="auto"/>
                <w:sz w:val="22"/>
                <w:szCs w:val="22"/>
              </w:rPr>
            </w:pPr>
            <w:r w:rsidRPr="0050622D">
              <w:rPr>
                <w:color w:val="auto"/>
                <w:sz w:val="22"/>
                <w:szCs w:val="22"/>
              </w:rPr>
              <w:t>£0 - £139</w:t>
            </w:r>
            <w:r w:rsidR="00592F1B" w:rsidRPr="0050622D">
              <w:rPr>
                <w:color w:val="auto"/>
                <w:sz w:val="22"/>
                <w:szCs w:val="22"/>
              </w:rPr>
              <w:t>.99</w:t>
            </w:r>
          </w:p>
        </w:tc>
        <w:tc>
          <w:tcPr>
            <w:tcW w:w="2591" w:type="dxa"/>
          </w:tcPr>
          <w:p w14:paraId="4DFD6CFB" w14:textId="77777777" w:rsidR="00592F1B" w:rsidRPr="0050622D" w:rsidRDefault="00592F1B" w:rsidP="00CB56A0">
            <w:pPr>
              <w:spacing w:after="0"/>
              <w:rPr>
                <w:color w:val="auto"/>
                <w:sz w:val="22"/>
                <w:szCs w:val="22"/>
              </w:rPr>
            </w:pPr>
            <w:r w:rsidRPr="0050622D">
              <w:rPr>
                <w:color w:val="auto"/>
                <w:sz w:val="22"/>
                <w:szCs w:val="22"/>
              </w:rPr>
              <w:t>100%</w:t>
            </w:r>
          </w:p>
        </w:tc>
        <w:tc>
          <w:tcPr>
            <w:tcW w:w="2293" w:type="dxa"/>
          </w:tcPr>
          <w:p w14:paraId="0E4AC5FC" w14:textId="77777777" w:rsidR="00592F1B" w:rsidRPr="002379C8" w:rsidRDefault="002379C8" w:rsidP="00CB56A0">
            <w:pPr>
              <w:spacing w:after="0"/>
              <w:rPr>
                <w:color w:val="auto"/>
                <w:sz w:val="22"/>
                <w:szCs w:val="22"/>
              </w:rPr>
            </w:pPr>
            <w:r w:rsidRPr="002379C8">
              <w:rPr>
                <w:color w:val="auto"/>
                <w:sz w:val="22"/>
                <w:szCs w:val="22"/>
              </w:rPr>
              <w:t>2,086</w:t>
            </w:r>
          </w:p>
        </w:tc>
      </w:tr>
      <w:tr w:rsidR="00592F1B" w:rsidRPr="00E46AEC" w14:paraId="30334AE9" w14:textId="77777777" w:rsidTr="00592F1B">
        <w:tc>
          <w:tcPr>
            <w:tcW w:w="1090" w:type="dxa"/>
          </w:tcPr>
          <w:p w14:paraId="5FB730EC" w14:textId="77777777" w:rsidR="00592F1B" w:rsidRPr="0050622D" w:rsidRDefault="00592F1B" w:rsidP="00CB56A0">
            <w:pPr>
              <w:spacing w:after="0"/>
              <w:rPr>
                <w:color w:val="auto"/>
                <w:sz w:val="22"/>
                <w:szCs w:val="22"/>
              </w:rPr>
            </w:pPr>
            <w:r w:rsidRPr="0050622D">
              <w:rPr>
                <w:color w:val="auto"/>
                <w:sz w:val="22"/>
                <w:szCs w:val="22"/>
              </w:rPr>
              <w:t>2</w:t>
            </w:r>
          </w:p>
        </w:tc>
        <w:tc>
          <w:tcPr>
            <w:tcW w:w="2545" w:type="dxa"/>
          </w:tcPr>
          <w:p w14:paraId="11DCAE05" w14:textId="77777777" w:rsidR="00592F1B" w:rsidRPr="0050622D" w:rsidRDefault="0050622D" w:rsidP="00CB56A0">
            <w:pPr>
              <w:spacing w:after="0"/>
              <w:rPr>
                <w:color w:val="auto"/>
                <w:sz w:val="22"/>
                <w:szCs w:val="22"/>
              </w:rPr>
            </w:pPr>
            <w:r w:rsidRPr="0050622D">
              <w:rPr>
                <w:color w:val="auto"/>
                <w:sz w:val="22"/>
                <w:szCs w:val="22"/>
              </w:rPr>
              <w:t>£140 - £209</w:t>
            </w:r>
            <w:r w:rsidR="00592F1B" w:rsidRPr="0050622D">
              <w:rPr>
                <w:color w:val="auto"/>
                <w:sz w:val="22"/>
                <w:szCs w:val="22"/>
              </w:rPr>
              <w:t>.99</w:t>
            </w:r>
          </w:p>
        </w:tc>
        <w:tc>
          <w:tcPr>
            <w:tcW w:w="2591" w:type="dxa"/>
          </w:tcPr>
          <w:p w14:paraId="5A0CB8F3" w14:textId="77777777" w:rsidR="00592F1B" w:rsidRPr="0050622D" w:rsidRDefault="00592F1B" w:rsidP="00CB56A0">
            <w:pPr>
              <w:spacing w:after="0"/>
              <w:rPr>
                <w:color w:val="auto"/>
                <w:sz w:val="22"/>
                <w:szCs w:val="22"/>
              </w:rPr>
            </w:pPr>
            <w:r w:rsidRPr="0050622D">
              <w:rPr>
                <w:color w:val="auto"/>
                <w:sz w:val="22"/>
                <w:szCs w:val="22"/>
              </w:rPr>
              <w:t>75%</w:t>
            </w:r>
          </w:p>
        </w:tc>
        <w:tc>
          <w:tcPr>
            <w:tcW w:w="2293" w:type="dxa"/>
          </w:tcPr>
          <w:p w14:paraId="352038E4" w14:textId="77777777" w:rsidR="00592F1B" w:rsidRPr="002379C8" w:rsidRDefault="002379C8" w:rsidP="00CB56A0">
            <w:pPr>
              <w:spacing w:after="0"/>
              <w:rPr>
                <w:color w:val="auto"/>
                <w:sz w:val="22"/>
                <w:szCs w:val="22"/>
              </w:rPr>
            </w:pPr>
            <w:r w:rsidRPr="002379C8">
              <w:rPr>
                <w:color w:val="auto"/>
                <w:sz w:val="22"/>
                <w:szCs w:val="22"/>
              </w:rPr>
              <w:t>686</w:t>
            </w:r>
          </w:p>
        </w:tc>
      </w:tr>
      <w:tr w:rsidR="00592F1B" w:rsidRPr="00E46AEC" w14:paraId="1587425C" w14:textId="77777777" w:rsidTr="00592F1B">
        <w:tc>
          <w:tcPr>
            <w:tcW w:w="1090" w:type="dxa"/>
          </w:tcPr>
          <w:p w14:paraId="3ACD9C72" w14:textId="77777777" w:rsidR="00592F1B" w:rsidRPr="0050622D" w:rsidRDefault="00592F1B" w:rsidP="00CB56A0">
            <w:pPr>
              <w:spacing w:after="0"/>
              <w:rPr>
                <w:color w:val="auto"/>
                <w:sz w:val="22"/>
                <w:szCs w:val="22"/>
              </w:rPr>
            </w:pPr>
            <w:r w:rsidRPr="0050622D">
              <w:rPr>
                <w:color w:val="auto"/>
                <w:sz w:val="22"/>
                <w:szCs w:val="22"/>
              </w:rPr>
              <w:t>3</w:t>
            </w:r>
          </w:p>
        </w:tc>
        <w:tc>
          <w:tcPr>
            <w:tcW w:w="2545" w:type="dxa"/>
          </w:tcPr>
          <w:p w14:paraId="7CF7860C" w14:textId="77777777" w:rsidR="00592F1B" w:rsidRPr="0050622D" w:rsidRDefault="0050622D" w:rsidP="00CB56A0">
            <w:pPr>
              <w:spacing w:after="0"/>
              <w:rPr>
                <w:color w:val="auto"/>
                <w:sz w:val="22"/>
                <w:szCs w:val="22"/>
              </w:rPr>
            </w:pPr>
            <w:r w:rsidRPr="0050622D">
              <w:rPr>
                <w:color w:val="auto"/>
                <w:sz w:val="22"/>
                <w:szCs w:val="22"/>
              </w:rPr>
              <w:t>£210 - £306</w:t>
            </w:r>
            <w:r w:rsidR="00592F1B" w:rsidRPr="0050622D">
              <w:rPr>
                <w:color w:val="auto"/>
                <w:sz w:val="22"/>
                <w:szCs w:val="22"/>
              </w:rPr>
              <w:t>.99</w:t>
            </w:r>
          </w:p>
        </w:tc>
        <w:tc>
          <w:tcPr>
            <w:tcW w:w="2591" w:type="dxa"/>
          </w:tcPr>
          <w:p w14:paraId="3EDE62E2" w14:textId="77777777" w:rsidR="00592F1B" w:rsidRPr="0050622D" w:rsidRDefault="00592F1B" w:rsidP="00CB56A0">
            <w:pPr>
              <w:spacing w:after="0"/>
              <w:rPr>
                <w:color w:val="auto"/>
                <w:sz w:val="22"/>
                <w:szCs w:val="22"/>
              </w:rPr>
            </w:pPr>
            <w:r w:rsidRPr="0050622D">
              <w:rPr>
                <w:color w:val="auto"/>
                <w:sz w:val="22"/>
                <w:szCs w:val="22"/>
              </w:rPr>
              <w:t>50%</w:t>
            </w:r>
          </w:p>
        </w:tc>
        <w:tc>
          <w:tcPr>
            <w:tcW w:w="2293" w:type="dxa"/>
          </w:tcPr>
          <w:p w14:paraId="748460EC" w14:textId="77777777" w:rsidR="00592F1B" w:rsidRPr="002379C8" w:rsidRDefault="002379C8" w:rsidP="00CB56A0">
            <w:pPr>
              <w:spacing w:after="0"/>
              <w:rPr>
                <w:color w:val="auto"/>
                <w:sz w:val="22"/>
                <w:szCs w:val="22"/>
              </w:rPr>
            </w:pPr>
            <w:r w:rsidRPr="002379C8">
              <w:rPr>
                <w:color w:val="auto"/>
                <w:sz w:val="22"/>
                <w:szCs w:val="22"/>
              </w:rPr>
              <w:t>447</w:t>
            </w:r>
          </w:p>
        </w:tc>
      </w:tr>
      <w:tr w:rsidR="00592F1B" w:rsidRPr="00E46AEC" w14:paraId="64B7729F" w14:textId="77777777" w:rsidTr="00592F1B">
        <w:tc>
          <w:tcPr>
            <w:tcW w:w="1090" w:type="dxa"/>
          </w:tcPr>
          <w:p w14:paraId="01098A62" w14:textId="77777777" w:rsidR="00592F1B" w:rsidRPr="0050622D" w:rsidRDefault="00592F1B" w:rsidP="00CB56A0">
            <w:pPr>
              <w:spacing w:after="0"/>
              <w:rPr>
                <w:color w:val="auto"/>
                <w:sz w:val="22"/>
                <w:szCs w:val="22"/>
              </w:rPr>
            </w:pPr>
            <w:r w:rsidRPr="0050622D">
              <w:rPr>
                <w:color w:val="auto"/>
                <w:sz w:val="22"/>
                <w:szCs w:val="22"/>
              </w:rPr>
              <w:t>4</w:t>
            </w:r>
          </w:p>
        </w:tc>
        <w:tc>
          <w:tcPr>
            <w:tcW w:w="2545" w:type="dxa"/>
          </w:tcPr>
          <w:p w14:paraId="660E859A" w14:textId="77777777" w:rsidR="00592F1B" w:rsidRPr="0050622D" w:rsidRDefault="0050622D" w:rsidP="00CB56A0">
            <w:pPr>
              <w:spacing w:after="0"/>
              <w:rPr>
                <w:color w:val="auto"/>
                <w:sz w:val="22"/>
                <w:szCs w:val="22"/>
              </w:rPr>
            </w:pPr>
            <w:r w:rsidRPr="0050622D">
              <w:rPr>
                <w:color w:val="auto"/>
                <w:sz w:val="22"/>
                <w:szCs w:val="22"/>
              </w:rPr>
              <w:t>£307 - £40</w:t>
            </w:r>
            <w:r w:rsidR="00592F1B" w:rsidRPr="0050622D">
              <w:rPr>
                <w:color w:val="auto"/>
                <w:sz w:val="22"/>
                <w:szCs w:val="22"/>
              </w:rPr>
              <w:t>7.99</w:t>
            </w:r>
          </w:p>
        </w:tc>
        <w:tc>
          <w:tcPr>
            <w:tcW w:w="2591" w:type="dxa"/>
          </w:tcPr>
          <w:p w14:paraId="56284108" w14:textId="77777777" w:rsidR="00592F1B" w:rsidRPr="0050622D" w:rsidRDefault="00592F1B" w:rsidP="00CB56A0">
            <w:pPr>
              <w:spacing w:after="0"/>
              <w:rPr>
                <w:color w:val="auto"/>
                <w:sz w:val="22"/>
                <w:szCs w:val="22"/>
              </w:rPr>
            </w:pPr>
            <w:r w:rsidRPr="0050622D">
              <w:rPr>
                <w:color w:val="auto"/>
                <w:sz w:val="22"/>
                <w:szCs w:val="22"/>
              </w:rPr>
              <w:t>25%</w:t>
            </w:r>
          </w:p>
        </w:tc>
        <w:tc>
          <w:tcPr>
            <w:tcW w:w="2293" w:type="dxa"/>
          </w:tcPr>
          <w:p w14:paraId="6153BE46" w14:textId="77777777" w:rsidR="00592F1B" w:rsidRPr="002379C8" w:rsidRDefault="002379C8" w:rsidP="00CB56A0">
            <w:pPr>
              <w:spacing w:after="0"/>
              <w:rPr>
                <w:color w:val="auto"/>
                <w:sz w:val="22"/>
                <w:szCs w:val="22"/>
              </w:rPr>
            </w:pPr>
            <w:r w:rsidRPr="002379C8">
              <w:rPr>
                <w:color w:val="auto"/>
                <w:sz w:val="22"/>
                <w:szCs w:val="22"/>
              </w:rPr>
              <w:t>117</w:t>
            </w:r>
          </w:p>
        </w:tc>
      </w:tr>
      <w:tr w:rsidR="00592F1B" w:rsidRPr="00E46AEC" w14:paraId="23EA29E0" w14:textId="77777777" w:rsidTr="00592F1B">
        <w:tc>
          <w:tcPr>
            <w:tcW w:w="1090" w:type="dxa"/>
          </w:tcPr>
          <w:p w14:paraId="6CB52CE1" w14:textId="77777777" w:rsidR="00592F1B" w:rsidRPr="0050622D" w:rsidRDefault="00592F1B" w:rsidP="00CB56A0">
            <w:pPr>
              <w:spacing w:after="0"/>
              <w:rPr>
                <w:color w:val="auto"/>
                <w:sz w:val="22"/>
                <w:szCs w:val="22"/>
              </w:rPr>
            </w:pPr>
            <w:r w:rsidRPr="0050622D">
              <w:rPr>
                <w:color w:val="auto"/>
                <w:sz w:val="22"/>
                <w:szCs w:val="22"/>
              </w:rPr>
              <w:t>5</w:t>
            </w:r>
          </w:p>
        </w:tc>
        <w:tc>
          <w:tcPr>
            <w:tcW w:w="2545" w:type="dxa"/>
          </w:tcPr>
          <w:p w14:paraId="7D879BE3" w14:textId="77777777" w:rsidR="00592F1B" w:rsidRPr="0050622D" w:rsidRDefault="0050622D" w:rsidP="00CB56A0">
            <w:pPr>
              <w:spacing w:after="0"/>
              <w:rPr>
                <w:color w:val="auto"/>
                <w:sz w:val="22"/>
                <w:szCs w:val="22"/>
              </w:rPr>
            </w:pPr>
            <w:r w:rsidRPr="0050622D">
              <w:rPr>
                <w:color w:val="auto"/>
                <w:sz w:val="22"/>
                <w:szCs w:val="22"/>
              </w:rPr>
              <w:t>£40</w:t>
            </w:r>
            <w:r w:rsidR="00592F1B" w:rsidRPr="0050622D">
              <w:rPr>
                <w:color w:val="auto"/>
                <w:sz w:val="22"/>
                <w:szCs w:val="22"/>
              </w:rPr>
              <w:t>8</w:t>
            </w:r>
            <w:r w:rsidRPr="0050622D">
              <w:rPr>
                <w:color w:val="auto"/>
                <w:sz w:val="22"/>
                <w:szCs w:val="22"/>
              </w:rPr>
              <w:t>+</w:t>
            </w:r>
          </w:p>
        </w:tc>
        <w:tc>
          <w:tcPr>
            <w:tcW w:w="2591" w:type="dxa"/>
          </w:tcPr>
          <w:p w14:paraId="56743FE3" w14:textId="77777777" w:rsidR="00592F1B" w:rsidRPr="0050622D" w:rsidRDefault="00592F1B" w:rsidP="00CB56A0">
            <w:pPr>
              <w:spacing w:after="0"/>
              <w:rPr>
                <w:color w:val="auto"/>
                <w:sz w:val="22"/>
                <w:szCs w:val="22"/>
              </w:rPr>
            </w:pPr>
            <w:r w:rsidRPr="0050622D">
              <w:rPr>
                <w:color w:val="auto"/>
                <w:sz w:val="22"/>
                <w:szCs w:val="22"/>
              </w:rPr>
              <w:t>0%</w:t>
            </w:r>
          </w:p>
        </w:tc>
        <w:tc>
          <w:tcPr>
            <w:tcW w:w="2293" w:type="dxa"/>
          </w:tcPr>
          <w:p w14:paraId="44C3BB03" w14:textId="77777777" w:rsidR="00592F1B" w:rsidRPr="002379C8" w:rsidRDefault="002324DD" w:rsidP="00CB56A0">
            <w:pPr>
              <w:spacing w:after="0"/>
              <w:rPr>
                <w:color w:val="auto"/>
                <w:sz w:val="22"/>
                <w:szCs w:val="22"/>
              </w:rPr>
            </w:pPr>
            <w:r w:rsidRPr="002379C8">
              <w:rPr>
                <w:color w:val="auto"/>
                <w:sz w:val="22"/>
                <w:szCs w:val="22"/>
              </w:rPr>
              <w:t>(not recorded)</w:t>
            </w:r>
          </w:p>
        </w:tc>
      </w:tr>
    </w:tbl>
    <w:p w14:paraId="69552A4C" w14:textId="77777777" w:rsidR="002C124B" w:rsidRPr="00E46AEC" w:rsidRDefault="002C124B" w:rsidP="002C124B">
      <w:pPr>
        <w:spacing w:after="0"/>
        <w:rPr>
          <w:rFonts w:eastAsiaTheme="minorHAnsi" w:cs="Arial"/>
          <w:color w:val="auto"/>
          <w:sz w:val="22"/>
          <w:szCs w:val="22"/>
          <w:highlight w:val="yellow"/>
          <w:lang w:eastAsia="en-US"/>
        </w:rPr>
      </w:pPr>
    </w:p>
    <w:p w14:paraId="0344A118" w14:textId="77777777" w:rsidR="002C124B" w:rsidRPr="009933B7" w:rsidRDefault="002C124B" w:rsidP="002C124B">
      <w:pPr>
        <w:spacing w:after="0"/>
        <w:ind w:left="720"/>
        <w:contextualSpacing/>
        <w:rPr>
          <w:rFonts w:eastAsiaTheme="minorHAnsi" w:cs="Arial"/>
          <w:color w:val="auto"/>
          <w:sz w:val="22"/>
          <w:szCs w:val="22"/>
          <w:lang w:eastAsia="en-US"/>
        </w:rPr>
      </w:pPr>
      <w:r w:rsidRPr="009933B7">
        <w:rPr>
          <w:rFonts w:eastAsiaTheme="minorHAnsi" w:cs="Arial"/>
          <w:color w:val="auto"/>
          <w:sz w:val="22"/>
          <w:szCs w:val="22"/>
          <w:lang w:eastAsia="en-US"/>
        </w:rPr>
        <w:t>The rationale for the figures above is as follows:</w:t>
      </w:r>
    </w:p>
    <w:p w14:paraId="7AE4D661"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£140.00</w:t>
      </w:r>
      <w:r w:rsidR="002C124B" w:rsidRPr="009933B7">
        <w:rPr>
          <w:rFonts w:eastAsiaTheme="minorHAnsi" w:cs="Arial"/>
          <w:color w:val="auto"/>
          <w:sz w:val="22"/>
          <w:szCs w:val="22"/>
          <w:lang w:eastAsia="en-US"/>
        </w:rPr>
        <w:t xml:space="preserve"> is 16 hours on the National Minimum Wage (NMW</w:t>
      </w:r>
      <w:r w:rsidRPr="009933B7">
        <w:rPr>
          <w:rFonts w:eastAsiaTheme="minorHAnsi" w:cs="Arial"/>
          <w:color w:val="auto"/>
          <w:sz w:val="22"/>
          <w:szCs w:val="22"/>
          <w:lang w:eastAsia="en-US"/>
        </w:rPr>
        <w:t xml:space="preserve"> £8.72</w:t>
      </w:r>
      <w:r w:rsidR="002C124B" w:rsidRPr="009933B7">
        <w:rPr>
          <w:rFonts w:eastAsiaTheme="minorHAnsi" w:cs="Arial"/>
          <w:color w:val="auto"/>
          <w:sz w:val="22"/>
          <w:szCs w:val="22"/>
          <w:lang w:eastAsia="en-US"/>
        </w:rPr>
        <w:t>) rounded upwards, (and is at a level which ensures households who previously received 100% reduction continue to do so)</w:t>
      </w:r>
    </w:p>
    <w:p w14:paraId="38013E14"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£210</w:t>
      </w:r>
      <w:r w:rsidR="002C124B" w:rsidRPr="009933B7">
        <w:rPr>
          <w:rFonts w:eastAsiaTheme="minorHAnsi" w:cs="Arial"/>
          <w:color w:val="auto"/>
          <w:sz w:val="22"/>
          <w:szCs w:val="22"/>
          <w:lang w:eastAsia="en-US"/>
        </w:rPr>
        <w:t xml:space="preserve"> is 24 hours on the NMW rounded upwards</w:t>
      </w:r>
    </w:p>
    <w:p w14:paraId="22B752F8"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£307</w:t>
      </w:r>
      <w:r w:rsidR="002C124B" w:rsidRPr="009933B7">
        <w:rPr>
          <w:rFonts w:eastAsiaTheme="minorHAnsi" w:cs="Arial"/>
          <w:color w:val="auto"/>
          <w:sz w:val="22"/>
          <w:szCs w:val="22"/>
          <w:lang w:eastAsia="en-US"/>
        </w:rPr>
        <w:t xml:space="preserve"> is 30 hours on the Oxford living wage (OLW</w:t>
      </w:r>
      <w:r w:rsidRPr="009933B7">
        <w:rPr>
          <w:rFonts w:eastAsiaTheme="minorHAnsi" w:cs="Arial"/>
          <w:color w:val="auto"/>
          <w:sz w:val="22"/>
          <w:szCs w:val="22"/>
          <w:lang w:eastAsia="en-US"/>
        </w:rPr>
        <w:t xml:space="preserve"> £10.21</w:t>
      </w:r>
      <w:r w:rsidR="002C124B" w:rsidRPr="009933B7">
        <w:rPr>
          <w:rFonts w:eastAsiaTheme="minorHAnsi" w:cs="Arial"/>
          <w:color w:val="auto"/>
          <w:sz w:val="22"/>
          <w:szCs w:val="22"/>
          <w:lang w:eastAsia="en-US"/>
        </w:rPr>
        <w:t>), rounded upwards</w:t>
      </w:r>
    </w:p>
    <w:p w14:paraId="6DF6B56E" w14:textId="77777777" w:rsidR="002C124B" w:rsidRPr="009933B7" w:rsidRDefault="00FD2B2F"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£398</w:t>
      </w:r>
      <w:r w:rsidR="002C124B" w:rsidRPr="009933B7">
        <w:rPr>
          <w:rFonts w:eastAsiaTheme="minorHAnsi" w:cs="Arial"/>
          <w:color w:val="auto"/>
          <w:sz w:val="22"/>
          <w:szCs w:val="22"/>
          <w:lang w:eastAsia="en-US"/>
        </w:rPr>
        <w:t xml:space="preserve"> is the benefit cap</w:t>
      </w:r>
    </w:p>
    <w:p w14:paraId="2C9B25CA" w14:textId="77777777" w:rsidR="00705D5E" w:rsidRPr="009933B7" w:rsidRDefault="00705D5E" w:rsidP="002C124B">
      <w:pPr>
        <w:spacing w:after="0"/>
        <w:rPr>
          <w:sz w:val="22"/>
          <w:szCs w:val="22"/>
        </w:rPr>
      </w:pPr>
    </w:p>
    <w:p w14:paraId="57056E5A" w14:textId="77777777" w:rsidR="007A58DA" w:rsidRPr="007A58DA" w:rsidRDefault="00FD2B2F" w:rsidP="007A58DA">
      <w:pPr>
        <w:spacing w:after="0"/>
        <w:ind w:left="720"/>
        <w:rPr>
          <w:sz w:val="22"/>
          <w:szCs w:val="22"/>
        </w:rPr>
      </w:pPr>
      <w:r w:rsidRPr="009933B7">
        <w:rPr>
          <w:sz w:val="22"/>
          <w:szCs w:val="22"/>
        </w:rPr>
        <w:t>The</w:t>
      </w:r>
      <w:r w:rsidR="00D56DCB" w:rsidRPr="009933B7">
        <w:rPr>
          <w:sz w:val="22"/>
          <w:szCs w:val="22"/>
        </w:rPr>
        <w:t>se</w:t>
      </w:r>
      <w:r w:rsidRPr="009933B7">
        <w:rPr>
          <w:sz w:val="22"/>
          <w:szCs w:val="22"/>
        </w:rPr>
        <w:t xml:space="preserve"> figures hav</w:t>
      </w:r>
      <w:r w:rsidR="00B82810" w:rsidRPr="009933B7">
        <w:rPr>
          <w:sz w:val="22"/>
          <w:szCs w:val="22"/>
        </w:rPr>
        <w:t>e been calculated using</w:t>
      </w:r>
      <w:r w:rsidR="00F95E17">
        <w:rPr>
          <w:sz w:val="22"/>
          <w:szCs w:val="22"/>
        </w:rPr>
        <w:t xml:space="preserve"> the 2020</w:t>
      </w:r>
      <w:r w:rsidRPr="009933B7">
        <w:rPr>
          <w:sz w:val="22"/>
          <w:szCs w:val="22"/>
        </w:rPr>
        <w:t xml:space="preserve"> figures for</w:t>
      </w:r>
      <w:r w:rsidR="009933B7" w:rsidRPr="009933B7">
        <w:rPr>
          <w:sz w:val="22"/>
          <w:szCs w:val="22"/>
        </w:rPr>
        <w:t xml:space="preserve"> the NMW and OLW which are £8.72 and £10.21</w:t>
      </w:r>
      <w:r w:rsidRPr="009933B7">
        <w:rPr>
          <w:sz w:val="22"/>
          <w:szCs w:val="22"/>
        </w:rPr>
        <w:t xml:space="preserve"> per hour respectively. The band</w:t>
      </w:r>
      <w:r w:rsidR="009933B7" w:rsidRPr="009933B7">
        <w:rPr>
          <w:sz w:val="22"/>
          <w:szCs w:val="22"/>
        </w:rPr>
        <w:t xml:space="preserve"> 5 value has been uprated by 2.4</w:t>
      </w:r>
      <w:r w:rsidRPr="009933B7">
        <w:rPr>
          <w:sz w:val="22"/>
          <w:szCs w:val="22"/>
        </w:rPr>
        <w:t>% which is t</w:t>
      </w:r>
      <w:r w:rsidR="009933B7" w:rsidRPr="009933B7">
        <w:rPr>
          <w:sz w:val="22"/>
          <w:szCs w:val="22"/>
        </w:rPr>
        <w:t>he RPI figure for September 2019</w:t>
      </w:r>
      <w:r w:rsidRPr="009933B7">
        <w:rPr>
          <w:sz w:val="22"/>
          <w:szCs w:val="22"/>
        </w:rPr>
        <w:t>.</w:t>
      </w:r>
    </w:p>
    <w:p w14:paraId="066766D7" w14:textId="77777777" w:rsidR="00916E57" w:rsidRPr="00F426E3" w:rsidRDefault="00916E57" w:rsidP="002C124B">
      <w:pPr>
        <w:spacing w:after="0"/>
        <w:rPr>
          <w:rFonts w:eastAsiaTheme="minorHAnsi" w:cs="Arial"/>
          <w:color w:val="auto"/>
          <w:sz w:val="22"/>
          <w:szCs w:val="22"/>
          <w:lang w:eastAsia="en-US"/>
        </w:rPr>
      </w:pPr>
      <w:r w:rsidRPr="00F426E3">
        <w:rPr>
          <w:rFonts w:eastAsiaTheme="minorHAnsi" w:cs="Arial"/>
          <w:color w:val="auto"/>
          <w:sz w:val="22"/>
          <w:szCs w:val="22"/>
          <w:lang w:eastAsia="en-US"/>
        </w:rPr>
        <w:tab/>
      </w:r>
    </w:p>
    <w:p w14:paraId="47E0E80C" w14:textId="0775B5D1" w:rsidR="00B82810" w:rsidRDefault="002C124B"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t>It is propos</w:t>
      </w:r>
      <w:r w:rsidR="00F95E17">
        <w:rPr>
          <w:rFonts w:eastAsiaTheme="minorHAnsi" w:cs="Arial"/>
          <w:color w:val="auto"/>
          <w:sz w:val="22"/>
          <w:szCs w:val="22"/>
          <w:lang w:eastAsia="en-US"/>
        </w:rPr>
        <w:t xml:space="preserve">ed to uprate the bands </w:t>
      </w:r>
      <w:r w:rsidRPr="00A03F7B">
        <w:rPr>
          <w:rFonts w:eastAsiaTheme="minorHAnsi" w:cs="Arial"/>
          <w:color w:val="auto"/>
          <w:sz w:val="22"/>
          <w:szCs w:val="22"/>
          <w:lang w:eastAsia="en-US"/>
        </w:rPr>
        <w:t>in line with changes to the N</w:t>
      </w:r>
      <w:r w:rsidR="00BA507F" w:rsidRPr="00A03F7B">
        <w:rPr>
          <w:rFonts w:eastAsiaTheme="minorHAnsi" w:cs="Arial"/>
          <w:color w:val="auto"/>
          <w:sz w:val="22"/>
          <w:szCs w:val="22"/>
          <w:lang w:eastAsia="en-US"/>
        </w:rPr>
        <w:t xml:space="preserve">ational Minimum Wage </w:t>
      </w:r>
      <w:r w:rsidR="00397DB5" w:rsidRPr="00A03F7B">
        <w:rPr>
          <w:rFonts w:eastAsiaTheme="minorHAnsi" w:cs="Arial"/>
          <w:color w:val="auto"/>
          <w:sz w:val="22"/>
          <w:szCs w:val="22"/>
          <w:lang w:eastAsia="en-US"/>
        </w:rPr>
        <w:t xml:space="preserve">(£8.91) </w:t>
      </w:r>
      <w:r w:rsidRPr="00A03F7B">
        <w:rPr>
          <w:rFonts w:eastAsiaTheme="minorHAnsi" w:cs="Arial"/>
          <w:color w:val="auto"/>
          <w:sz w:val="22"/>
          <w:szCs w:val="22"/>
          <w:lang w:eastAsia="en-US"/>
        </w:rPr>
        <w:t xml:space="preserve">and </w:t>
      </w:r>
      <w:r w:rsidR="00397DB5" w:rsidRPr="00A03F7B">
        <w:rPr>
          <w:rFonts w:eastAsiaTheme="minorHAnsi" w:cs="Arial"/>
          <w:color w:val="auto"/>
          <w:sz w:val="22"/>
          <w:szCs w:val="22"/>
          <w:lang w:eastAsia="en-US"/>
        </w:rPr>
        <w:t>Oxford Living Wage (£10.31)</w:t>
      </w:r>
      <w:r w:rsidRPr="00A03F7B">
        <w:rPr>
          <w:rFonts w:eastAsiaTheme="minorHAnsi" w:cs="Arial"/>
          <w:color w:val="auto"/>
          <w:sz w:val="22"/>
          <w:szCs w:val="22"/>
          <w:lang w:eastAsia="en-US"/>
        </w:rPr>
        <w:t>, and in the case of the benefit cap, by inflation (based on the Retail Price</w:t>
      </w:r>
      <w:r w:rsidR="00397DB5" w:rsidRPr="00A03F7B">
        <w:rPr>
          <w:rFonts w:eastAsiaTheme="minorHAnsi" w:cs="Arial"/>
          <w:color w:val="auto"/>
          <w:sz w:val="22"/>
          <w:szCs w:val="22"/>
          <w:lang w:eastAsia="en-US"/>
        </w:rPr>
        <w:t xml:space="preserve"> Index figure for September 2020 which was </w:t>
      </w:r>
      <w:r w:rsidR="000E4A6E" w:rsidRPr="00A03F7B">
        <w:rPr>
          <w:rFonts w:eastAsiaTheme="minorHAnsi" w:cs="Arial"/>
          <w:color w:val="auto"/>
          <w:sz w:val="22"/>
          <w:szCs w:val="22"/>
          <w:lang w:eastAsia="en-US"/>
        </w:rPr>
        <w:t>1.1</w:t>
      </w:r>
      <w:r w:rsidR="009F2298" w:rsidRPr="00A03F7B">
        <w:rPr>
          <w:rFonts w:eastAsiaTheme="minorHAnsi" w:cs="Arial"/>
          <w:color w:val="auto"/>
          <w:sz w:val="22"/>
          <w:szCs w:val="22"/>
          <w:lang w:eastAsia="en-US"/>
        </w:rPr>
        <w:t>%</w:t>
      </w:r>
      <w:r w:rsidR="00F95E17">
        <w:rPr>
          <w:rFonts w:eastAsiaTheme="minorHAnsi" w:cs="Arial"/>
          <w:color w:val="auto"/>
          <w:sz w:val="22"/>
          <w:szCs w:val="22"/>
          <w:lang w:eastAsia="en-US"/>
        </w:rPr>
        <w:t xml:space="preserve">). </w:t>
      </w:r>
      <w:r w:rsidR="0029764B">
        <w:rPr>
          <w:rFonts w:eastAsiaTheme="minorHAnsi" w:cs="Arial"/>
          <w:color w:val="auto"/>
          <w:sz w:val="22"/>
          <w:szCs w:val="22"/>
          <w:lang w:eastAsia="en-US"/>
        </w:rPr>
        <w:t xml:space="preserve">It is also proposed to move all working age claimants to an Income Banded Scheme. </w:t>
      </w:r>
      <w:r w:rsidR="00F95E17">
        <w:rPr>
          <w:rFonts w:eastAsiaTheme="minorHAnsi" w:cs="Arial"/>
          <w:color w:val="auto"/>
          <w:sz w:val="22"/>
          <w:szCs w:val="22"/>
          <w:lang w:eastAsia="en-US"/>
        </w:rPr>
        <w:t>These changes will</w:t>
      </w:r>
      <w:r w:rsidRPr="00A03F7B">
        <w:rPr>
          <w:rFonts w:eastAsiaTheme="minorHAnsi" w:cs="Arial"/>
          <w:color w:val="auto"/>
          <w:sz w:val="22"/>
          <w:szCs w:val="22"/>
          <w:lang w:eastAsia="en-US"/>
        </w:rPr>
        <w:t xml:space="preserve"> have no significant impact on the amount of support provided</w:t>
      </w:r>
      <w:r w:rsidR="00017F92" w:rsidRPr="00A03F7B">
        <w:rPr>
          <w:rFonts w:eastAsiaTheme="minorHAnsi" w:cs="Arial"/>
          <w:color w:val="auto"/>
          <w:sz w:val="22"/>
          <w:szCs w:val="22"/>
          <w:lang w:eastAsia="en-US"/>
        </w:rPr>
        <w:t xml:space="preserve"> by the Council </w:t>
      </w:r>
      <w:r w:rsidRPr="00A03F7B">
        <w:rPr>
          <w:rFonts w:eastAsiaTheme="minorHAnsi" w:cs="Arial"/>
          <w:color w:val="auto"/>
          <w:sz w:val="22"/>
          <w:szCs w:val="22"/>
          <w:lang w:eastAsia="en-US"/>
        </w:rPr>
        <w:t xml:space="preserve">and will ensure that no-one has to pay more council tax as a result of receiving a small </w:t>
      </w:r>
      <w:r w:rsidR="00315617" w:rsidRPr="00A03F7B">
        <w:rPr>
          <w:rFonts w:eastAsiaTheme="minorHAnsi" w:cs="Arial"/>
          <w:color w:val="auto"/>
          <w:sz w:val="22"/>
          <w:szCs w:val="22"/>
          <w:lang w:eastAsia="en-US"/>
        </w:rPr>
        <w:t>change in income</w:t>
      </w:r>
      <w:r w:rsidR="0029764B">
        <w:rPr>
          <w:rFonts w:eastAsiaTheme="minorHAnsi" w:cs="Arial"/>
          <w:color w:val="auto"/>
          <w:sz w:val="22"/>
          <w:szCs w:val="22"/>
          <w:lang w:eastAsia="en-US"/>
        </w:rPr>
        <w:t xml:space="preserve">, except </w:t>
      </w:r>
      <w:r w:rsidR="00417898">
        <w:rPr>
          <w:rFonts w:eastAsiaTheme="minorHAnsi" w:cs="Arial"/>
          <w:color w:val="auto"/>
          <w:sz w:val="22"/>
          <w:szCs w:val="22"/>
          <w:lang w:eastAsia="en-US"/>
        </w:rPr>
        <w:t xml:space="preserve">if </w:t>
      </w:r>
      <w:r w:rsidR="0029764B">
        <w:rPr>
          <w:rFonts w:eastAsiaTheme="minorHAnsi" w:cs="Arial"/>
          <w:color w:val="auto"/>
          <w:sz w:val="22"/>
          <w:szCs w:val="22"/>
          <w:lang w:eastAsia="en-US"/>
        </w:rPr>
        <w:t xml:space="preserve">in Band 5, where the RPI is less than last year and therefore the </w:t>
      </w:r>
      <w:r w:rsidR="00417898">
        <w:rPr>
          <w:rFonts w:eastAsiaTheme="minorHAnsi" w:cs="Arial"/>
          <w:color w:val="auto"/>
          <w:sz w:val="22"/>
          <w:szCs w:val="22"/>
          <w:lang w:eastAsia="en-US"/>
        </w:rPr>
        <w:t xml:space="preserve">weekly income </w:t>
      </w:r>
      <w:r w:rsidR="0029764B">
        <w:rPr>
          <w:rFonts w:eastAsiaTheme="minorHAnsi" w:cs="Arial"/>
          <w:color w:val="auto"/>
          <w:sz w:val="22"/>
          <w:szCs w:val="22"/>
          <w:lang w:eastAsia="en-US"/>
        </w:rPr>
        <w:t>figure has decreased.</w:t>
      </w:r>
      <w:r w:rsidR="009F2298" w:rsidRPr="00A03F7B">
        <w:rPr>
          <w:rFonts w:eastAsiaTheme="minorHAnsi" w:cs="Arial"/>
          <w:color w:val="auto"/>
          <w:sz w:val="22"/>
          <w:szCs w:val="22"/>
          <w:lang w:eastAsia="en-US"/>
        </w:rPr>
        <w:t xml:space="preserve"> </w:t>
      </w:r>
    </w:p>
    <w:p w14:paraId="7EA26771" w14:textId="77777777" w:rsidR="0029764B" w:rsidRPr="00A03F7B" w:rsidRDefault="0029764B" w:rsidP="0029764B">
      <w:pPr>
        <w:pStyle w:val="ListParagraph"/>
        <w:numPr>
          <w:ilvl w:val="0"/>
          <w:numId w:val="0"/>
        </w:numPr>
        <w:spacing w:after="0"/>
        <w:ind w:left="720"/>
        <w:contextualSpacing/>
        <w:rPr>
          <w:rFonts w:eastAsiaTheme="minorHAnsi" w:cs="Arial"/>
          <w:color w:val="auto"/>
          <w:sz w:val="22"/>
          <w:szCs w:val="22"/>
          <w:lang w:eastAsia="en-US"/>
        </w:rPr>
      </w:pPr>
    </w:p>
    <w:p w14:paraId="1A32F911" w14:textId="77777777" w:rsidR="000B2FA7" w:rsidRDefault="000B2FA7"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t>Increases to certain benefits increase by CPI in April each year which for this year is 0.5%. Going forward it is proposed to increase the bands above using CPI rather than RPI to match the benefit up</w:t>
      </w:r>
      <w:r w:rsidR="00A03F7B">
        <w:rPr>
          <w:rFonts w:eastAsiaTheme="minorHAnsi" w:cs="Arial"/>
          <w:color w:val="auto"/>
          <w:sz w:val="22"/>
          <w:szCs w:val="22"/>
          <w:lang w:eastAsia="en-US"/>
        </w:rPr>
        <w:t>-</w:t>
      </w:r>
      <w:r w:rsidRPr="00A03F7B">
        <w:rPr>
          <w:rFonts w:eastAsiaTheme="minorHAnsi" w:cs="Arial"/>
          <w:color w:val="auto"/>
          <w:sz w:val="22"/>
          <w:szCs w:val="22"/>
          <w:lang w:eastAsia="en-US"/>
        </w:rPr>
        <w:t>ratings, this will commence from 12</w:t>
      </w:r>
      <w:r w:rsidRPr="00A03F7B">
        <w:rPr>
          <w:rFonts w:eastAsiaTheme="minorHAnsi" w:cs="Arial"/>
          <w:color w:val="auto"/>
          <w:sz w:val="22"/>
          <w:szCs w:val="22"/>
          <w:vertAlign w:val="superscript"/>
          <w:lang w:eastAsia="en-US"/>
        </w:rPr>
        <w:t>th</w:t>
      </w:r>
      <w:r w:rsidRPr="00A03F7B">
        <w:rPr>
          <w:rFonts w:eastAsiaTheme="minorHAnsi" w:cs="Arial"/>
          <w:color w:val="auto"/>
          <w:sz w:val="22"/>
          <w:szCs w:val="22"/>
          <w:lang w:eastAsia="en-US"/>
        </w:rPr>
        <w:t xml:space="preserve"> April 2022.</w:t>
      </w:r>
    </w:p>
    <w:p w14:paraId="3089B973" w14:textId="77777777" w:rsidR="00393648" w:rsidRPr="0092468D" w:rsidRDefault="00393648" w:rsidP="0092468D">
      <w:pPr>
        <w:spacing w:after="0"/>
        <w:contextualSpacing/>
        <w:rPr>
          <w:rFonts w:eastAsiaTheme="minorHAnsi" w:cs="Arial"/>
          <w:color w:val="auto"/>
          <w:sz w:val="22"/>
          <w:szCs w:val="22"/>
          <w:lang w:eastAsia="en-US"/>
        </w:rPr>
      </w:pPr>
    </w:p>
    <w:p w14:paraId="2E9C3410" w14:textId="376750F6" w:rsidR="00393648" w:rsidRPr="0026788A" w:rsidRDefault="00393648" w:rsidP="00A03F7B">
      <w:pPr>
        <w:pStyle w:val="ListParagraph"/>
        <w:numPr>
          <w:ilvl w:val="0"/>
          <w:numId w:val="6"/>
        </w:numPr>
        <w:spacing w:after="0"/>
        <w:contextualSpacing/>
        <w:rPr>
          <w:rFonts w:eastAsiaTheme="minorHAnsi" w:cs="Arial"/>
          <w:color w:val="auto"/>
          <w:sz w:val="22"/>
          <w:szCs w:val="22"/>
          <w:lang w:eastAsia="en-US"/>
        </w:rPr>
      </w:pPr>
      <w:r w:rsidRPr="0026788A">
        <w:rPr>
          <w:rFonts w:eastAsiaTheme="minorHAnsi" w:cs="Arial"/>
          <w:color w:val="auto"/>
          <w:sz w:val="22"/>
          <w:szCs w:val="22"/>
          <w:lang w:eastAsia="en-US"/>
        </w:rPr>
        <w:t xml:space="preserve">The revised income bandings </w:t>
      </w:r>
      <w:r w:rsidR="0029764B">
        <w:rPr>
          <w:rFonts w:eastAsiaTheme="minorHAnsi" w:cs="Arial"/>
          <w:color w:val="auto"/>
          <w:sz w:val="22"/>
          <w:szCs w:val="22"/>
          <w:lang w:eastAsia="en-US"/>
        </w:rPr>
        <w:t xml:space="preserve">to be used for all working age claimants and </w:t>
      </w:r>
      <w:r w:rsidRPr="0026788A">
        <w:rPr>
          <w:rFonts w:eastAsiaTheme="minorHAnsi" w:cs="Arial"/>
          <w:color w:val="auto"/>
          <w:sz w:val="22"/>
          <w:szCs w:val="22"/>
          <w:lang w:eastAsia="en-US"/>
        </w:rPr>
        <w:t>effective from 1</w:t>
      </w:r>
      <w:r w:rsidRPr="0026788A">
        <w:rPr>
          <w:rFonts w:eastAsiaTheme="minorHAnsi" w:cs="Arial"/>
          <w:color w:val="auto"/>
          <w:sz w:val="22"/>
          <w:szCs w:val="22"/>
          <w:vertAlign w:val="superscript"/>
          <w:lang w:eastAsia="en-US"/>
        </w:rPr>
        <w:t>ST</w:t>
      </w:r>
      <w:r w:rsidRPr="0026788A">
        <w:rPr>
          <w:rFonts w:eastAsiaTheme="minorHAnsi" w:cs="Arial"/>
          <w:color w:val="auto"/>
          <w:sz w:val="22"/>
          <w:szCs w:val="22"/>
          <w:lang w:eastAsia="en-US"/>
        </w:rPr>
        <w:t xml:space="preserve"> April 2021 with the proposed changes indent</w:t>
      </w:r>
      <w:r w:rsidR="0026788A" w:rsidRPr="0026788A">
        <w:rPr>
          <w:rFonts w:eastAsiaTheme="minorHAnsi" w:cs="Arial"/>
          <w:color w:val="auto"/>
          <w:sz w:val="22"/>
          <w:szCs w:val="22"/>
          <w:lang w:eastAsia="en-US"/>
        </w:rPr>
        <w:t>ified above are shown in Table 2</w:t>
      </w:r>
      <w:r w:rsidRPr="0026788A">
        <w:rPr>
          <w:rFonts w:eastAsiaTheme="minorHAnsi" w:cs="Arial"/>
          <w:color w:val="auto"/>
          <w:sz w:val="22"/>
          <w:szCs w:val="22"/>
          <w:lang w:eastAsia="en-US"/>
        </w:rPr>
        <w:t>:</w:t>
      </w:r>
    </w:p>
    <w:p w14:paraId="39862800" w14:textId="77777777" w:rsidR="00393648" w:rsidRPr="0092468D" w:rsidRDefault="00393648" w:rsidP="0026788A">
      <w:pPr>
        <w:pStyle w:val="ListParagraph"/>
        <w:numPr>
          <w:ilvl w:val="0"/>
          <w:numId w:val="0"/>
        </w:numPr>
        <w:ind w:left="426"/>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tblGrid>
      <w:tr w:rsidR="001B1361" w:rsidRPr="0050622D" w14:paraId="6105D3A7" w14:textId="77777777" w:rsidTr="001D006A">
        <w:tc>
          <w:tcPr>
            <w:tcW w:w="6226" w:type="dxa"/>
            <w:gridSpan w:val="3"/>
          </w:tcPr>
          <w:p w14:paraId="6AB947D6" w14:textId="49CCD2B1" w:rsidR="001B1361" w:rsidRPr="0050622D" w:rsidRDefault="001B1361" w:rsidP="0026788A">
            <w:pPr>
              <w:spacing w:after="0"/>
              <w:rPr>
                <w:b/>
                <w:color w:val="auto"/>
                <w:sz w:val="22"/>
                <w:szCs w:val="22"/>
              </w:rPr>
            </w:pPr>
            <w:r>
              <w:rPr>
                <w:b/>
                <w:color w:val="auto"/>
                <w:sz w:val="22"/>
                <w:szCs w:val="22"/>
              </w:rPr>
              <w:t>Table 2 : Proposed income bandings from 1-4-2021 for CTR scheme</w:t>
            </w:r>
            <w:r w:rsidR="00417898">
              <w:rPr>
                <w:b/>
                <w:color w:val="auto"/>
                <w:sz w:val="22"/>
                <w:szCs w:val="22"/>
              </w:rPr>
              <w:t xml:space="preserve"> for all working age claimants</w:t>
            </w:r>
          </w:p>
        </w:tc>
      </w:tr>
      <w:tr w:rsidR="0026788A" w:rsidRPr="0050622D" w14:paraId="435ABC84" w14:textId="77777777" w:rsidTr="0026788A">
        <w:tc>
          <w:tcPr>
            <w:tcW w:w="1090" w:type="dxa"/>
          </w:tcPr>
          <w:p w14:paraId="379591A0" w14:textId="77777777" w:rsidR="0026788A" w:rsidRPr="0050622D" w:rsidRDefault="0026788A" w:rsidP="0026788A">
            <w:pPr>
              <w:spacing w:after="0"/>
              <w:rPr>
                <w:b/>
                <w:color w:val="auto"/>
                <w:sz w:val="22"/>
                <w:szCs w:val="22"/>
              </w:rPr>
            </w:pPr>
            <w:r w:rsidRPr="0050622D">
              <w:rPr>
                <w:b/>
                <w:color w:val="auto"/>
                <w:sz w:val="22"/>
                <w:szCs w:val="22"/>
              </w:rPr>
              <w:t>Band</w:t>
            </w:r>
          </w:p>
        </w:tc>
        <w:tc>
          <w:tcPr>
            <w:tcW w:w="2545" w:type="dxa"/>
          </w:tcPr>
          <w:p w14:paraId="00006672" w14:textId="77777777" w:rsidR="0026788A" w:rsidRPr="0050622D" w:rsidRDefault="0026788A" w:rsidP="0026788A">
            <w:pPr>
              <w:spacing w:after="0"/>
              <w:rPr>
                <w:b/>
                <w:color w:val="auto"/>
                <w:sz w:val="22"/>
                <w:szCs w:val="22"/>
              </w:rPr>
            </w:pPr>
            <w:r w:rsidRPr="0050622D">
              <w:rPr>
                <w:b/>
                <w:color w:val="auto"/>
                <w:sz w:val="22"/>
                <w:szCs w:val="22"/>
              </w:rPr>
              <w:t>Weekly Income</w:t>
            </w:r>
          </w:p>
        </w:tc>
        <w:tc>
          <w:tcPr>
            <w:tcW w:w="2591" w:type="dxa"/>
          </w:tcPr>
          <w:p w14:paraId="2A66C32F" w14:textId="77777777" w:rsidR="0026788A" w:rsidRPr="0050622D" w:rsidRDefault="0026788A" w:rsidP="0026788A">
            <w:pPr>
              <w:spacing w:after="0"/>
              <w:rPr>
                <w:b/>
                <w:color w:val="auto"/>
                <w:sz w:val="22"/>
                <w:szCs w:val="22"/>
              </w:rPr>
            </w:pPr>
            <w:r w:rsidRPr="0050622D">
              <w:rPr>
                <w:b/>
                <w:color w:val="auto"/>
                <w:sz w:val="22"/>
                <w:szCs w:val="22"/>
              </w:rPr>
              <w:t>Discount received</w:t>
            </w:r>
          </w:p>
        </w:tc>
      </w:tr>
      <w:tr w:rsidR="0026788A" w:rsidRPr="002379C8" w14:paraId="15233F00" w14:textId="77777777" w:rsidTr="0026788A">
        <w:tc>
          <w:tcPr>
            <w:tcW w:w="1090" w:type="dxa"/>
          </w:tcPr>
          <w:p w14:paraId="0AFEDE6F" w14:textId="77777777" w:rsidR="0026788A" w:rsidRPr="0050622D" w:rsidRDefault="0026788A" w:rsidP="0026788A">
            <w:pPr>
              <w:spacing w:after="0"/>
              <w:rPr>
                <w:color w:val="auto"/>
                <w:sz w:val="22"/>
                <w:szCs w:val="22"/>
              </w:rPr>
            </w:pPr>
            <w:r w:rsidRPr="0050622D">
              <w:rPr>
                <w:color w:val="auto"/>
                <w:sz w:val="22"/>
                <w:szCs w:val="22"/>
              </w:rPr>
              <w:t>1</w:t>
            </w:r>
          </w:p>
        </w:tc>
        <w:tc>
          <w:tcPr>
            <w:tcW w:w="2545" w:type="dxa"/>
          </w:tcPr>
          <w:p w14:paraId="6EA810ED" w14:textId="77777777" w:rsidR="0026788A" w:rsidRPr="0050622D" w:rsidRDefault="0026788A" w:rsidP="0026788A">
            <w:pPr>
              <w:spacing w:after="0"/>
              <w:rPr>
                <w:color w:val="auto"/>
                <w:sz w:val="22"/>
                <w:szCs w:val="22"/>
              </w:rPr>
            </w:pPr>
            <w:r>
              <w:rPr>
                <w:color w:val="auto"/>
                <w:sz w:val="22"/>
                <w:szCs w:val="22"/>
              </w:rPr>
              <w:t>£0 - £142.99</w:t>
            </w:r>
          </w:p>
        </w:tc>
        <w:tc>
          <w:tcPr>
            <w:tcW w:w="2591" w:type="dxa"/>
          </w:tcPr>
          <w:p w14:paraId="409E54AD" w14:textId="77777777" w:rsidR="0026788A" w:rsidRPr="0050622D" w:rsidRDefault="0026788A" w:rsidP="0026788A">
            <w:pPr>
              <w:spacing w:after="0"/>
              <w:rPr>
                <w:color w:val="auto"/>
                <w:sz w:val="22"/>
                <w:szCs w:val="22"/>
              </w:rPr>
            </w:pPr>
            <w:r w:rsidRPr="0050622D">
              <w:rPr>
                <w:color w:val="auto"/>
                <w:sz w:val="22"/>
                <w:szCs w:val="22"/>
              </w:rPr>
              <w:t>100%</w:t>
            </w:r>
          </w:p>
        </w:tc>
      </w:tr>
      <w:tr w:rsidR="0026788A" w:rsidRPr="002379C8" w14:paraId="392DDAD3" w14:textId="77777777" w:rsidTr="0026788A">
        <w:tc>
          <w:tcPr>
            <w:tcW w:w="1090" w:type="dxa"/>
          </w:tcPr>
          <w:p w14:paraId="0434A7CA" w14:textId="77777777" w:rsidR="0026788A" w:rsidRPr="0050622D" w:rsidRDefault="0026788A" w:rsidP="0026788A">
            <w:pPr>
              <w:spacing w:after="0"/>
              <w:rPr>
                <w:color w:val="auto"/>
                <w:sz w:val="22"/>
                <w:szCs w:val="22"/>
              </w:rPr>
            </w:pPr>
            <w:r w:rsidRPr="0050622D">
              <w:rPr>
                <w:color w:val="auto"/>
                <w:sz w:val="22"/>
                <w:szCs w:val="22"/>
              </w:rPr>
              <w:t>2</w:t>
            </w:r>
          </w:p>
        </w:tc>
        <w:tc>
          <w:tcPr>
            <w:tcW w:w="2545" w:type="dxa"/>
          </w:tcPr>
          <w:p w14:paraId="73159A1D" w14:textId="77777777" w:rsidR="0026788A" w:rsidRPr="0050622D" w:rsidRDefault="0026788A" w:rsidP="0026788A">
            <w:pPr>
              <w:spacing w:after="0"/>
              <w:rPr>
                <w:color w:val="auto"/>
                <w:sz w:val="22"/>
                <w:szCs w:val="22"/>
              </w:rPr>
            </w:pPr>
            <w:r>
              <w:rPr>
                <w:color w:val="auto"/>
                <w:sz w:val="22"/>
                <w:szCs w:val="22"/>
              </w:rPr>
              <w:t>£143 - £213.99</w:t>
            </w:r>
          </w:p>
        </w:tc>
        <w:tc>
          <w:tcPr>
            <w:tcW w:w="2591" w:type="dxa"/>
          </w:tcPr>
          <w:p w14:paraId="1EC65169" w14:textId="77777777" w:rsidR="0026788A" w:rsidRPr="0050622D" w:rsidRDefault="0026788A" w:rsidP="0026788A">
            <w:pPr>
              <w:spacing w:after="0"/>
              <w:rPr>
                <w:color w:val="auto"/>
                <w:sz w:val="22"/>
                <w:szCs w:val="22"/>
              </w:rPr>
            </w:pPr>
            <w:r w:rsidRPr="0050622D">
              <w:rPr>
                <w:color w:val="auto"/>
                <w:sz w:val="22"/>
                <w:szCs w:val="22"/>
              </w:rPr>
              <w:t>75%</w:t>
            </w:r>
          </w:p>
        </w:tc>
      </w:tr>
      <w:tr w:rsidR="0026788A" w:rsidRPr="002379C8" w14:paraId="6ED534A6" w14:textId="77777777" w:rsidTr="0026788A">
        <w:tc>
          <w:tcPr>
            <w:tcW w:w="1090" w:type="dxa"/>
          </w:tcPr>
          <w:p w14:paraId="2F30948A" w14:textId="77777777" w:rsidR="0026788A" w:rsidRPr="0050622D" w:rsidRDefault="0026788A" w:rsidP="0026788A">
            <w:pPr>
              <w:spacing w:after="0"/>
              <w:rPr>
                <w:color w:val="auto"/>
                <w:sz w:val="22"/>
                <w:szCs w:val="22"/>
              </w:rPr>
            </w:pPr>
            <w:r w:rsidRPr="0050622D">
              <w:rPr>
                <w:color w:val="auto"/>
                <w:sz w:val="22"/>
                <w:szCs w:val="22"/>
              </w:rPr>
              <w:t>3</w:t>
            </w:r>
          </w:p>
        </w:tc>
        <w:tc>
          <w:tcPr>
            <w:tcW w:w="2545" w:type="dxa"/>
          </w:tcPr>
          <w:p w14:paraId="75BF3B56" w14:textId="77777777" w:rsidR="0026788A" w:rsidRPr="0050622D" w:rsidRDefault="0026788A" w:rsidP="0026788A">
            <w:pPr>
              <w:spacing w:after="0"/>
              <w:rPr>
                <w:color w:val="auto"/>
                <w:sz w:val="22"/>
                <w:szCs w:val="22"/>
              </w:rPr>
            </w:pPr>
            <w:r>
              <w:rPr>
                <w:color w:val="auto"/>
                <w:sz w:val="22"/>
                <w:szCs w:val="22"/>
              </w:rPr>
              <w:t>£214 - £309</w:t>
            </w:r>
            <w:r w:rsidRPr="0050622D">
              <w:rPr>
                <w:color w:val="auto"/>
                <w:sz w:val="22"/>
                <w:szCs w:val="22"/>
              </w:rPr>
              <w:t>.99</w:t>
            </w:r>
          </w:p>
        </w:tc>
        <w:tc>
          <w:tcPr>
            <w:tcW w:w="2591" w:type="dxa"/>
          </w:tcPr>
          <w:p w14:paraId="44543DD7" w14:textId="77777777" w:rsidR="0026788A" w:rsidRPr="0050622D" w:rsidRDefault="0026788A" w:rsidP="0026788A">
            <w:pPr>
              <w:spacing w:after="0"/>
              <w:rPr>
                <w:color w:val="auto"/>
                <w:sz w:val="22"/>
                <w:szCs w:val="22"/>
              </w:rPr>
            </w:pPr>
            <w:r w:rsidRPr="0050622D">
              <w:rPr>
                <w:color w:val="auto"/>
                <w:sz w:val="22"/>
                <w:szCs w:val="22"/>
              </w:rPr>
              <w:t>50%</w:t>
            </w:r>
          </w:p>
        </w:tc>
      </w:tr>
      <w:tr w:rsidR="0026788A" w:rsidRPr="002379C8" w14:paraId="1E26F50E" w14:textId="77777777" w:rsidTr="0026788A">
        <w:tc>
          <w:tcPr>
            <w:tcW w:w="1090" w:type="dxa"/>
          </w:tcPr>
          <w:p w14:paraId="0451B274" w14:textId="77777777" w:rsidR="0026788A" w:rsidRPr="0050622D" w:rsidRDefault="0026788A" w:rsidP="0026788A">
            <w:pPr>
              <w:spacing w:after="0"/>
              <w:rPr>
                <w:color w:val="auto"/>
                <w:sz w:val="22"/>
                <w:szCs w:val="22"/>
              </w:rPr>
            </w:pPr>
            <w:r w:rsidRPr="0050622D">
              <w:rPr>
                <w:color w:val="auto"/>
                <w:sz w:val="22"/>
                <w:szCs w:val="22"/>
              </w:rPr>
              <w:t>4</w:t>
            </w:r>
          </w:p>
        </w:tc>
        <w:tc>
          <w:tcPr>
            <w:tcW w:w="2545" w:type="dxa"/>
          </w:tcPr>
          <w:p w14:paraId="4D37C037" w14:textId="77777777" w:rsidR="0026788A" w:rsidRPr="0050622D" w:rsidRDefault="0026788A" w:rsidP="0026788A">
            <w:pPr>
              <w:spacing w:after="0"/>
              <w:rPr>
                <w:color w:val="auto"/>
                <w:sz w:val="22"/>
                <w:szCs w:val="22"/>
              </w:rPr>
            </w:pPr>
            <w:r>
              <w:rPr>
                <w:color w:val="auto"/>
                <w:sz w:val="22"/>
                <w:szCs w:val="22"/>
              </w:rPr>
              <w:t>£310 - £402</w:t>
            </w:r>
            <w:r w:rsidRPr="0050622D">
              <w:rPr>
                <w:color w:val="auto"/>
                <w:sz w:val="22"/>
                <w:szCs w:val="22"/>
              </w:rPr>
              <w:t>.99</w:t>
            </w:r>
          </w:p>
        </w:tc>
        <w:tc>
          <w:tcPr>
            <w:tcW w:w="2591" w:type="dxa"/>
          </w:tcPr>
          <w:p w14:paraId="6ED5E108" w14:textId="77777777" w:rsidR="0026788A" w:rsidRPr="0050622D" w:rsidRDefault="0026788A" w:rsidP="0026788A">
            <w:pPr>
              <w:spacing w:after="0"/>
              <w:rPr>
                <w:color w:val="auto"/>
                <w:sz w:val="22"/>
                <w:szCs w:val="22"/>
              </w:rPr>
            </w:pPr>
            <w:r w:rsidRPr="0050622D">
              <w:rPr>
                <w:color w:val="auto"/>
                <w:sz w:val="22"/>
                <w:szCs w:val="22"/>
              </w:rPr>
              <w:t>25%</w:t>
            </w:r>
          </w:p>
        </w:tc>
      </w:tr>
      <w:tr w:rsidR="0026788A" w:rsidRPr="002379C8" w14:paraId="52FD701D" w14:textId="77777777" w:rsidTr="0026788A">
        <w:tc>
          <w:tcPr>
            <w:tcW w:w="1090" w:type="dxa"/>
          </w:tcPr>
          <w:p w14:paraId="5793EB62" w14:textId="77777777" w:rsidR="0026788A" w:rsidRPr="0050622D" w:rsidRDefault="0026788A" w:rsidP="0026788A">
            <w:pPr>
              <w:spacing w:after="0"/>
              <w:rPr>
                <w:color w:val="auto"/>
                <w:sz w:val="22"/>
                <w:szCs w:val="22"/>
              </w:rPr>
            </w:pPr>
            <w:r w:rsidRPr="0050622D">
              <w:rPr>
                <w:color w:val="auto"/>
                <w:sz w:val="22"/>
                <w:szCs w:val="22"/>
              </w:rPr>
              <w:t>5</w:t>
            </w:r>
          </w:p>
        </w:tc>
        <w:tc>
          <w:tcPr>
            <w:tcW w:w="2545" w:type="dxa"/>
          </w:tcPr>
          <w:p w14:paraId="60B9EB83" w14:textId="77777777" w:rsidR="0026788A" w:rsidRPr="0050622D" w:rsidRDefault="0026788A" w:rsidP="0026788A">
            <w:pPr>
              <w:spacing w:after="0"/>
              <w:rPr>
                <w:color w:val="auto"/>
                <w:sz w:val="22"/>
                <w:szCs w:val="22"/>
              </w:rPr>
            </w:pPr>
            <w:r>
              <w:rPr>
                <w:color w:val="auto"/>
                <w:sz w:val="22"/>
                <w:szCs w:val="22"/>
              </w:rPr>
              <w:t>£403</w:t>
            </w:r>
            <w:r w:rsidRPr="0050622D">
              <w:rPr>
                <w:color w:val="auto"/>
                <w:sz w:val="22"/>
                <w:szCs w:val="22"/>
              </w:rPr>
              <w:t>+</w:t>
            </w:r>
          </w:p>
        </w:tc>
        <w:tc>
          <w:tcPr>
            <w:tcW w:w="2591" w:type="dxa"/>
          </w:tcPr>
          <w:p w14:paraId="578CE36B" w14:textId="77777777" w:rsidR="0026788A" w:rsidRPr="0050622D" w:rsidRDefault="0026788A" w:rsidP="0026788A">
            <w:pPr>
              <w:spacing w:after="0"/>
              <w:rPr>
                <w:color w:val="auto"/>
                <w:sz w:val="22"/>
                <w:szCs w:val="22"/>
              </w:rPr>
            </w:pPr>
            <w:r w:rsidRPr="0050622D">
              <w:rPr>
                <w:color w:val="auto"/>
                <w:sz w:val="22"/>
                <w:szCs w:val="22"/>
              </w:rPr>
              <w:t>0%</w:t>
            </w:r>
          </w:p>
        </w:tc>
      </w:tr>
    </w:tbl>
    <w:p w14:paraId="5FC2E61E" w14:textId="77777777" w:rsidR="00393648" w:rsidRDefault="00393648" w:rsidP="0092468D">
      <w:pPr>
        <w:pStyle w:val="ListParagraph"/>
        <w:numPr>
          <w:ilvl w:val="0"/>
          <w:numId w:val="0"/>
        </w:numPr>
        <w:spacing w:after="0"/>
        <w:ind w:left="720"/>
        <w:contextualSpacing/>
        <w:rPr>
          <w:rFonts w:eastAsiaTheme="minorHAnsi" w:cs="Arial"/>
          <w:color w:val="auto"/>
          <w:sz w:val="22"/>
          <w:szCs w:val="22"/>
          <w:lang w:eastAsia="en-US"/>
        </w:rPr>
      </w:pPr>
    </w:p>
    <w:p w14:paraId="53030814" w14:textId="39F5F4DE" w:rsidR="00952689" w:rsidRDefault="00952689"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Other than the change</w:t>
      </w:r>
      <w:r w:rsidR="0029764B">
        <w:rPr>
          <w:rFonts w:eastAsiaTheme="minorHAnsi" w:cs="Arial"/>
          <w:color w:val="auto"/>
          <w:sz w:val="22"/>
          <w:szCs w:val="22"/>
          <w:lang w:eastAsia="en-US"/>
        </w:rPr>
        <w:t>s</w:t>
      </w:r>
      <w:r>
        <w:rPr>
          <w:rFonts w:eastAsiaTheme="minorHAnsi" w:cs="Arial"/>
          <w:color w:val="auto"/>
          <w:sz w:val="22"/>
          <w:szCs w:val="22"/>
          <w:lang w:eastAsia="en-US"/>
        </w:rPr>
        <w:t xml:space="preserve"> in the </w:t>
      </w:r>
      <w:r w:rsidR="00417898">
        <w:rPr>
          <w:rFonts w:eastAsiaTheme="minorHAnsi" w:cs="Arial"/>
          <w:color w:val="auto"/>
          <w:sz w:val="22"/>
          <w:szCs w:val="22"/>
          <w:lang w:eastAsia="en-US"/>
        </w:rPr>
        <w:t>weekly income to be used for the income bands</w:t>
      </w:r>
      <w:r w:rsidR="0029764B">
        <w:rPr>
          <w:rFonts w:eastAsiaTheme="minorHAnsi" w:cs="Arial"/>
          <w:color w:val="auto"/>
          <w:sz w:val="22"/>
          <w:szCs w:val="22"/>
          <w:lang w:eastAsia="en-US"/>
        </w:rPr>
        <w:t xml:space="preserve"> and moving all working age claimants to an income banded scheme,</w:t>
      </w:r>
      <w:r>
        <w:rPr>
          <w:rFonts w:eastAsiaTheme="minorHAnsi" w:cs="Arial"/>
          <w:color w:val="auto"/>
          <w:sz w:val="22"/>
          <w:szCs w:val="22"/>
          <w:lang w:eastAsia="en-US"/>
        </w:rPr>
        <w:t xml:space="preserve"> there are no other changes to the scheme being recommended following the consultation exercise</w:t>
      </w:r>
      <w:r w:rsidR="0029764B">
        <w:rPr>
          <w:rFonts w:eastAsiaTheme="minorHAnsi" w:cs="Arial"/>
          <w:color w:val="auto"/>
          <w:sz w:val="22"/>
          <w:szCs w:val="22"/>
          <w:lang w:eastAsia="en-US"/>
        </w:rPr>
        <w:t>.</w:t>
      </w:r>
    </w:p>
    <w:p w14:paraId="1F2C3CB2" w14:textId="77777777" w:rsidR="00A70B6A" w:rsidRDefault="00A70B6A" w:rsidP="00A70B6A">
      <w:pPr>
        <w:pStyle w:val="ListParagraph"/>
        <w:numPr>
          <w:ilvl w:val="0"/>
          <w:numId w:val="0"/>
        </w:numPr>
        <w:spacing w:after="0"/>
        <w:ind w:left="720"/>
        <w:contextualSpacing/>
        <w:rPr>
          <w:rFonts w:eastAsiaTheme="minorHAnsi" w:cs="Arial"/>
          <w:color w:val="auto"/>
          <w:sz w:val="22"/>
          <w:szCs w:val="22"/>
          <w:lang w:eastAsia="en-US"/>
        </w:rPr>
      </w:pPr>
    </w:p>
    <w:p w14:paraId="19CB1689" w14:textId="0C9A2F77"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The Council will always endeavour to maximise the CTR award. Where the customer has a minimal change in Income and doesn’t move from one Income Band to another they will not need to report changes and their CTR award remain the same. </w:t>
      </w:r>
    </w:p>
    <w:p w14:paraId="488A5C6B" w14:textId="77777777" w:rsidR="00A70B6A" w:rsidRPr="0006230D" w:rsidRDefault="00A70B6A" w:rsidP="0006230D">
      <w:pPr>
        <w:rPr>
          <w:rFonts w:eastAsiaTheme="minorHAnsi" w:cs="Arial"/>
          <w:color w:val="auto"/>
          <w:sz w:val="22"/>
          <w:szCs w:val="22"/>
          <w:lang w:eastAsia="en-US"/>
        </w:rPr>
      </w:pPr>
    </w:p>
    <w:p w14:paraId="121B9E08" w14:textId="14FE026E"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As part of the new CTR scheme, we will continue to disregard </w:t>
      </w:r>
      <w:r w:rsidR="00C55E85">
        <w:rPr>
          <w:rFonts w:eastAsiaTheme="minorHAnsi" w:cs="Arial"/>
          <w:color w:val="auto"/>
          <w:sz w:val="22"/>
          <w:szCs w:val="22"/>
          <w:lang w:eastAsia="en-US"/>
        </w:rPr>
        <w:t xml:space="preserve">most </w:t>
      </w:r>
      <w:r>
        <w:rPr>
          <w:rFonts w:eastAsiaTheme="minorHAnsi" w:cs="Arial"/>
          <w:color w:val="auto"/>
          <w:sz w:val="22"/>
          <w:szCs w:val="22"/>
          <w:lang w:eastAsia="en-US"/>
        </w:rPr>
        <w:t>disability benefits</w:t>
      </w:r>
      <w:r w:rsidR="00C55E85">
        <w:rPr>
          <w:rFonts w:eastAsiaTheme="minorHAnsi" w:cs="Arial"/>
          <w:color w:val="auto"/>
          <w:sz w:val="22"/>
          <w:szCs w:val="22"/>
          <w:lang w:eastAsia="en-US"/>
        </w:rPr>
        <w:t>. We will however take into account</w:t>
      </w:r>
      <w:r>
        <w:rPr>
          <w:rFonts w:eastAsiaTheme="minorHAnsi" w:cs="Arial"/>
          <w:color w:val="auto"/>
          <w:sz w:val="22"/>
          <w:szCs w:val="22"/>
          <w:lang w:eastAsia="en-US"/>
        </w:rPr>
        <w:t xml:space="preserve"> Employment Support Allowance Contributions Based, as this </w:t>
      </w:r>
      <w:r w:rsidR="00C55E85">
        <w:rPr>
          <w:rFonts w:eastAsiaTheme="minorHAnsi" w:cs="Arial"/>
          <w:color w:val="auto"/>
          <w:sz w:val="22"/>
          <w:szCs w:val="22"/>
          <w:lang w:eastAsia="en-US"/>
        </w:rPr>
        <w:t>benefit is based on National Insurance contributions and the claimant may have other Income.</w:t>
      </w:r>
    </w:p>
    <w:p w14:paraId="3659D8C8" w14:textId="77777777" w:rsidR="00952689" w:rsidRPr="0092468D" w:rsidRDefault="00952689" w:rsidP="0092468D">
      <w:pPr>
        <w:pStyle w:val="ListParagraph"/>
        <w:numPr>
          <w:ilvl w:val="0"/>
          <w:numId w:val="0"/>
        </w:numPr>
        <w:spacing w:after="0"/>
        <w:ind w:left="720"/>
        <w:contextualSpacing/>
        <w:rPr>
          <w:rFonts w:eastAsiaTheme="minorHAnsi" w:cs="Arial"/>
          <w:color w:val="auto"/>
          <w:sz w:val="22"/>
          <w:szCs w:val="22"/>
          <w:lang w:eastAsia="en-US"/>
        </w:rPr>
      </w:pPr>
    </w:p>
    <w:p w14:paraId="2FDE519D" w14:textId="104DC54C" w:rsidR="00185FA5" w:rsidRPr="00082D37" w:rsidRDefault="00F60052"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Calibri" w:cs="Arial"/>
          <w:color w:val="auto"/>
          <w:sz w:val="22"/>
          <w:szCs w:val="22"/>
          <w:lang w:eastAsia="en-US"/>
        </w:rPr>
        <w:t>T</w:t>
      </w:r>
      <w:r w:rsidR="00185FA5" w:rsidRPr="00A03F7B">
        <w:rPr>
          <w:rFonts w:eastAsia="Calibri" w:cs="Arial"/>
          <w:color w:val="auto"/>
          <w:sz w:val="22"/>
          <w:szCs w:val="22"/>
          <w:lang w:eastAsia="en-US"/>
        </w:rPr>
        <w:t xml:space="preserve">here will be some administrative work required to implement the </w:t>
      </w:r>
      <w:r w:rsidR="004E4127" w:rsidRPr="00A03F7B">
        <w:rPr>
          <w:rFonts w:eastAsia="Calibri" w:cs="Arial"/>
          <w:color w:val="auto"/>
          <w:sz w:val="22"/>
          <w:szCs w:val="22"/>
          <w:lang w:eastAsia="en-US"/>
        </w:rPr>
        <w:t xml:space="preserve">amendments to the </w:t>
      </w:r>
      <w:r w:rsidR="00185FA5" w:rsidRPr="00A03F7B">
        <w:rPr>
          <w:rFonts w:eastAsia="Calibri" w:cs="Arial"/>
          <w:color w:val="auto"/>
          <w:sz w:val="22"/>
          <w:szCs w:val="22"/>
          <w:lang w:eastAsia="en-US"/>
        </w:rPr>
        <w:t xml:space="preserve">scheme and inform the public about the changes. This includes </w:t>
      </w:r>
      <w:r w:rsidR="004E4127" w:rsidRPr="00A03F7B">
        <w:rPr>
          <w:rFonts w:eastAsia="Calibri" w:cs="Arial"/>
          <w:color w:val="auto"/>
          <w:sz w:val="22"/>
          <w:szCs w:val="22"/>
          <w:lang w:eastAsia="en-US"/>
        </w:rPr>
        <w:t xml:space="preserve">revising the scheme, </w:t>
      </w:r>
      <w:r w:rsidR="00F95E17">
        <w:rPr>
          <w:rFonts w:eastAsia="Calibri" w:cs="Arial"/>
          <w:color w:val="auto"/>
          <w:sz w:val="22"/>
          <w:szCs w:val="22"/>
          <w:lang w:eastAsia="en-US"/>
        </w:rPr>
        <w:t xml:space="preserve">updating any legislative changes required, </w:t>
      </w:r>
      <w:r w:rsidR="00185FA5" w:rsidRPr="00A03F7B">
        <w:rPr>
          <w:rFonts w:eastAsia="Calibri" w:cs="Arial"/>
          <w:color w:val="auto"/>
          <w:sz w:val="22"/>
          <w:szCs w:val="22"/>
          <w:lang w:eastAsia="en-US"/>
        </w:rPr>
        <w:t xml:space="preserve">amending the functionality of the software used for administering </w:t>
      </w:r>
      <w:r w:rsidR="006C3421" w:rsidRPr="00A03F7B">
        <w:rPr>
          <w:rFonts w:eastAsia="Calibri" w:cs="Arial"/>
          <w:color w:val="auto"/>
          <w:sz w:val="22"/>
          <w:szCs w:val="22"/>
          <w:lang w:eastAsia="en-US"/>
        </w:rPr>
        <w:t xml:space="preserve">the </w:t>
      </w:r>
      <w:r w:rsidR="00185FA5" w:rsidRPr="00A03F7B">
        <w:rPr>
          <w:rFonts w:eastAsia="Calibri" w:cs="Arial"/>
          <w:color w:val="auto"/>
          <w:sz w:val="22"/>
          <w:szCs w:val="22"/>
          <w:lang w:eastAsia="en-US"/>
        </w:rPr>
        <w:t>CTR</w:t>
      </w:r>
      <w:r w:rsidR="002C03CF" w:rsidRPr="00A03F7B">
        <w:rPr>
          <w:rFonts w:eastAsia="Calibri" w:cs="Arial"/>
          <w:color w:val="auto"/>
          <w:sz w:val="22"/>
          <w:szCs w:val="22"/>
          <w:lang w:eastAsia="en-US"/>
        </w:rPr>
        <w:t xml:space="preserve"> Scheme</w:t>
      </w:r>
      <w:r w:rsidR="00185FA5" w:rsidRPr="00A03F7B">
        <w:rPr>
          <w:rFonts w:eastAsia="Calibri" w:cs="Arial"/>
          <w:color w:val="auto"/>
          <w:sz w:val="22"/>
          <w:szCs w:val="22"/>
          <w:lang w:eastAsia="en-US"/>
        </w:rPr>
        <w:t xml:space="preserve">, amending local processes, training staff and producing communications for customers. </w:t>
      </w:r>
      <w:r w:rsidR="00417898">
        <w:rPr>
          <w:rFonts w:eastAsia="Calibri" w:cs="Arial"/>
          <w:color w:val="auto"/>
          <w:sz w:val="22"/>
          <w:szCs w:val="22"/>
          <w:lang w:eastAsia="en-US"/>
        </w:rPr>
        <w:t xml:space="preserve">There may be a small cost for developing the electronic form needed. </w:t>
      </w:r>
      <w:r w:rsidR="0029764B">
        <w:rPr>
          <w:rFonts w:eastAsia="Calibri" w:cs="Arial"/>
          <w:color w:val="auto"/>
          <w:sz w:val="22"/>
          <w:szCs w:val="22"/>
          <w:lang w:eastAsia="en-US"/>
        </w:rPr>
        <w:t>This will lead t</w:t>
      </w:r>
      <w:r w:rsidR="00FC1ACD">
        <w:rPr>
          <w:rFonts w:eastAsia="Calibri" w:cs="Arial"/>
          <w:color w:val="auto"/>
          <w:sz w:val="22"/>
          <w:szCs w:val="22"/>
          <w:lang w:eastAsia="en-US"/>
        </w:rPr>
        <w:t xml:space="preserve">o a better customer experience by having an </w:t>
      </w:r>
      <w:r w:rsidR="0029764B">
        <w:rPr>
          <w:rFonts w:eastAsia="Calibri" w:cs="Arial"/>
          <w:color w:val="auto"/>
          <w:sz w:val="22"/>
          <w:szCs w:val="22"/>
          <w:lang w:eastAsia="en-US"/>
        </w:rPr>
        <w:t xml:space="preserve">easier application process, </w:t>
      </w:r>
      <w:r w:rsidR="00FC1ACD">
        <w:rPr>
          <w:rFonts w:eastAsia="Calibri" w:cs="Arial"/>
          <w:color w:val="auto"/>
          <w:sz w:val="22"/>
          <w:szCs w:val="22"/>
          <w:lang w:eastAsia="en-US"/>
        </w:rPr>
        <w:t xml:space="preserve">with </w:t>
      </w:r>
      <w:r w:rsidR="0029764B">
        <w:rPr>
          <w:rFonts w:eastAsia="Calibri" w:cs="Arial"/>
          <w:color w:val="auto"/>
          <w:sz w:val="22"/>
          <w:szCs w:val="22"/>
          <w:lang w:eastAsia="en-US"/>
        </w:rPr>
        <w:t xml:space="preserve">no need to notify of minor income changes unless this would mean moving into </w:t>
      </w:r>
      <w:r w:rsidR="00FC1ACD">
        <w:rPr>
          <w:rFonts w:eastAsia="Calibri" w:cs="Arial"/>
          <w:color w:val="auto"/>
          <w:sz w:val="22"/>
          <w:szCs w:val="22"/>
          <w:lang w:eastAsia="en-US"/>
        </w:rPr>
        <w:t>a lower or higher band and</w:t>
      </w:r>
      <w:r w:rsidR="0029764B">
        <w:rPr>
          <w:rFonts w:eastAsia="Calibri" w:cs="Arial"/>
          <w:color w:val="auto"/>
          <w:sz w:val="22"/>
          <w:szCs w:val="22"/>
          <w:lang w:eastAsia="en-US"/>
        </w:rPr>
        <w:t xml:space="preserve"> regular reviews of claims</w:t>
      </w:r>
      <w:r w:rsidR="00FC1ACD">
        <w:rPr>
          <w:rFonts w:eastAsia="Calibri" w:cs="Arial"/>
          <w:color w:val="auto"/>
          <w:sz w:val="22"/>
          <w:szCs w:val="22"/>
          <w:lang w:eastAsia="en-US"/>
        </w:rPr>
        <w:t>.</w:t>
      </w:r>
      <w:r w:rsidR="0029764B">
        <w:rPr>
          <w:rFonts w:eastAsia="Calibri" w:cs="Arial"/>
          <w:color w:val="auto"/>
          <w:sz w:val="22"/>
          <w:szCs w:val="22"/>
          <w:lang w:eastAsia="en-US"/>
        </w:rPr>
        <w:t xml:space="preserve"> </w:t>
      </w:r>
    </w:p>
    <w:p w14:paraId="7AEE5E00" w14:textId="77777777" w:rsidR="00082D37" w:rsidRPr="00082D37" w:rsidRDefault="00082D37" w:rsidP="00082D37">
      <w:pPr>
        <w:pStyle w:val="ListParagraph"/>
        <w:numPr>
          <w:ilvl w:val="0"/>
          <w:numId w:val="0"/>
        </w:numPr>
        <w:ind w:left="426"/>
        <w:rPr>
          <w:rFonts w:eastAsiaTheme="minorHAnsi" w:cs="Arial"/>
          <w:color w:val="auto"/>
          <w:sz w:val="22"/>
          <w:szCs w:val="22"/>
          <w:lang w:eastAsia="en-US"/>
        </w:rPr>
      </w:pPr>
    </w:p>
    <w:p w14:paraId="08E391D4" w14:textId="20425AEA" w:rsidR="00F31432" w:rsidRPr="00F31432" w:rsidRDefault="00082D37" w:rsidP="00F31432">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It is proposed that the Council retains some of its existing Hardship Funding</w:t>
      </w:r>
      <w:r w:rsidR="00F31432">
        <w:rPr>
          <w:rFonts w:eastAsiaTheme="minorHAnsi" w:cs="Arial"/>
          <w:color w:val="auto"/>
          <w:sz w:val="22"/>
          <w:szCs w:val="22"/>
          <w:lang w:eastAsia="en-US"/>
        </w:rPr>
        <w:t xml:space="preserve"> to support anyone that is adversely affected by any changes proposed. We are currently awaiting confirmation that we are able to carry forward any underspend, and are looking at retaining £100k. We are in a position to do this mainly because our existing CTR scheme is more generous than others.</w:t>
      </w:r>
    </w:p>
    <w:p w14:paraId="7EEDCF85" w14:textId="77777777" w:rsidR="00985B07" w:rsidRPr="000E4A6E" w:rsidRDefault="00985B07" w:rsidP="0006230D">
      <w:pPr>
        <w:pStyle w:val="Heading1"/>
      </w:pPr>
      <w:r w:rsidRPr="000E4A6E">
        <w:t>Financial Implications</w:t>
      </w:r>
    </w:p>
    <w:p w14:paraId="043F1935" w14:textId="77777777" w:rsidR="00DE038E" w:rsidRDefault="00B61E2D" w:rsidP="00A03F7B">
      <w:pPr>
        <w:pStyle w:val="ListParagraph"/>
        <w:numPr>
          <w:ilvl w:val="0"/>
          <w:numId w:val="6"/>
        </w:numPr>
        <w:autoSpaceDE w:val="0"/>
        <w:autoSpaceDN w:val="0"/>
        <w:adjustRightInd w:val="0"/>
        <w:spacing w:after="0"/>
        <w:rPr>
          <w:sz w:val="22"/>
          <w:szCs w:val="22"/>
        </w:rPr>
      </w:pPr>
      <w:r w:rsidRPr="00A03F7B">
        <w:rPr>
          <w:rFonts w:eastAsia="Calibri" w:cs="Arial"/>
          <w:color w:val="auto"/>
          <w:sz w:val="22"/>
          <w:szCs w:val="22"/>
          <w:lang w:eastAsia="en-US"/>
        </w:rPr>
        <w:t xml:space="preserve">The Council is one of less than 30 </w:t>
      </w:r>
      <w:r w:rsidR="00690950" w:rsidRPr="00A03F7B">
        <w:rPr>
          <w:rFonts w:eastAsia="Calibri" w:cs="Arial"/>
          <w:color w:val="auto"/>
          <w:sz w:val="22"/>
          <w:szCs w:val="22"/>
          <w:lang w:eastAsia="en-US"/>
        </w:rPr>
        <w:t xml:space="preserve">councils in the country to maintain </w:t>
      </w:r>
      <w:r w:rsidR="00644567" w:rsidRPr="00A03F7B">
        <w:rPr>
          <w:rFonts w:eastAsia="Calibri" w:cs="Arial"/>
          <w:color w:val="auto"/>
          <w:sz w:val="22"/>
          <w:szCs w:val="22"/>
          <w:lang w:eastAsia="en-US"/>
        </w:rPr>
        <w:t>a 100% CTR</w:t>
      </w:r>
      <w:r w:rsidR="00690950" w:rsidRPr="00A03F7B">
        <w:rPr>
          <w:rFonts w:eastAsia="Calibri" w:cs="Arial"/>
          <w:color w:val="auto"/>
          <w:sz w:val="22"/>
          <w:szCs w:val="22"/>
          <w:lang w:eastAsia="en-US"/>
        </w:rPr>
        <w:t xml:space="preserve"> scheme for the payment of CTR </w:t>
      </w:r>
      <w:r w:rsidR="00544856">
        <w:rPr>
          <w:rFonts w:eastAsia="Calibri" w:cs="Arial"/>
          <w:color w:val="auto"/>
          <w:sz w:val="22"/>
          <w:szCs w:val="22"/>
          <w:lang w:eastAsia="en-US"/>
        </w:rPr>
        <w:t>i.e</w:t>
      </w:r>
      <w:r w:rsidR="0092468D">
        <w:rPr>
          <w:rFonts w:eastAsia="Calibri" w:cs="Arial"/>
          <w:color w:val="auto"/>
          <w:sz w:val="22"/>
          <w:szCs w:val="22"/>
          <w:lang w:eastAsia="en-US"/>
        </w:rPr>
        <w:t>.</w:t>
      </w:r>
      <w:r w:rsidR="00544856">
        <w:rPr>
          <w:rFonts w:eastAsia="Calibri" w:cs="Arial"/>
          <w:color w:val="auto"/>
          <w:sz w:val="22"/>
          <w:szCs w:val="22"/>
          <w:lang w:eastAsia="en-US"/>
        </w:rPr>
        <w:t xml:space="preserve"> one that requires no minimum payment of council tax but provides financial support </w:t>
      </w:r>
      <w:r w:rsidR="00332E59" w:rsidRPr="00A03F7B">
        <w:rPr>
          <w:rFonts w:eastAsia="Calibri" w:cs="Arial"/>
          <w:color w:val="auto"/>
          <w:sz w:val="22"/>
          <w:szCs w:val="22"/>
          <w:lang w:eastAsia="en-US"/>
        </w:rPr>
        <w:t>at much the same level for claimants as existed within the old Council Tax Benefit scheme</w:t>
      </w:r>
      <w:r w:rsidR="00544856">
        <w:rPr>
          <w:rFonts w:eastAsia="Calibri" w:cs="Arial"/>
          <w:color w:val="auto"/>
          <w:sz w:val="22"/>
          <w:szCs w:val="22"/>
          <w:lang w:eastAsia="en-US"/>
        </w:rPr>
        <w:t>,</w:t>
      </w:r>
      <w:r w:rsidR="00332E59" w:rsidRPr="00A03F7B">
        <w:rPr>
          <w:rFonts w:eastAsia="Calibri" w:cs="Arial"/>
          <w:color w:val="auto"/>
          <w:sz w:val="22"/>
          <w:szCs w:val="22"/>
          <w:lang w:eastAsia="en-US"/>
        </w:rPr>
        <w:t xml:space="preserve"> before the new CTR scheme came into force on 1</w:t>
      </w:r>
      <w:r w:rsidR="00332E59" w:rsidRPr="00A03F7B">
        <w:rPr>
          <w:rFonts w:eastAsia="Calibri" w:cs="Arial"/>
          <w:color w:val="auto"/>
          <w:sz w:val="22"/>
          <w:szCs w:val="22"/>
          <w:vertAlign w:val="superscript"/>
          <w:lang w:eastAsia="en-US"/>
        </w:rPr>
        <w:t>St</w:t>
      </w:r>
      <w:r w:rsidR="00332E59" w:rsidRPr="00A03F7B">
        <w:rPr>
          <w:rFonts w:eastAsia="Calibri" w:cs="Arial"/>
          <w:color w:val="auto"/>
          <w:sz w:val="22"/>
          <w:szCs w:val="22"/>
          <w:lang w:eastAsia="en-US"/>
        </w:rPr>
        <w:t xml:space="preserve"> April 2013. Most other councils have reduced the cost of their schemes by providing a lower level of support. </w:t>
      </w:r>
      <w:r w:rsidR="00DE038E" w:rsidRPr="00A03F7B">
        <w:rPr>
          <w:sz w:val="22"/>
          <w:szCs w:val="22"/>
        </w:rPr>
        <w:t>Whilst the Government initially provided funding for the new local schemes</w:t>
      </w:r>
      <w:r w:rsidR="00332E59" w:rsidRPr="00A03F7B">
        <w:rPr>
          <w:sz w:val="22"/>
          <w:szCs w:val="22"/>
        </w:rPr>
        <w:t>,</w:t>
      </w:r>
      <w:r w:rsidR="00DE038E" w:rsidRPr="00A03F7B">
        <w:rPr>
          <w:sz w:val="22"/>
          <w:szCs w:val="22"/>
        </w:rPr>
        <w:t xml:space="preserve"> the funding has reduced each year in line with the reduction in the Council’s Revenue Support Grant (RSG)</w:t>
      </w:r>
      <w:r w:rsidR="0092468D">
        <w:rPr>
          <w:sz w:val="22"/>
          <w:szCs w:val="22"/>
        </w:rPr>
        <w:t xml:space="preserve"> </w:t>
      </w:r>
      <w:r w:rsidR="00DE038E" w:rsidRPr="00A03F7B">
        <w:rPr>
          <w:sz w:val="22"/>
          <w:szCs w:val="22"/>
        </w:rPr>
        <w:t>which has now reduced to zero</w:t>
      </w:r>
      <w:r w:rsidR="00952689">
        <w:rPr>
          <w:sz w:val="22"/>
          <w:szCs w:val="22"/>
        </w:rPr>
        <w:t>,</w:t>
      </w:r>
      <w:r w:rsidR="00DE038E" w:rsidRPr="00A03F7B">
        <w:rPr>
          <w:sz w:val="22"/>
          <w:szCs w:val="22"/>
        </w:rPr>
        <w:t xml:space="preserve"> consequently no </w:t>
      </w:r>
      <w:r w:rsidR="00952689">
        <w:rPr>
          <w:sz w:val="22"/>
          <w:szCs w:val="22"/>
        </w:rPr>
        <w:t xml:space="preserve">Government </w:t>
      </w:r>
      <w:r w:rsidR="00DE038E" w:rsidRPr="00A03F7B">
        <w:rPr>
          <w:sz w:val="22"/>
          <w:szCs w:val="22"/>
        </w:rPr>
        <w:t>funding is provided towards the CTR Scheme</w:t>
      </w:r>
      <w:r w:rsidR="00A03F7B" w:rsidRPr="00A03F7B">
        <w:rPr>
          <w:sz w:val="22"/>
          <w:szCs w:val="22"/>
        </w:rPr>
        <w:t>.</w:t>
      </w:r>
    </w:p>
    <w:p w14:paraId="398B6F20" w14:textId="77777777" w:rsidR="0006230D" w:rsidRPr="00A03F7B" w:rsidRDefault="0006230D" w:rsidP="0006230D">
      <w:pPr>
        <w:pStyle w:val="ListParagraph"/>
        <w:numPr>
          <w:ilvl w:val="0"/>
          <w:numId w:val="0"/>
        </w:numPr>
        <w:autoSpaceDE w:val="0"/>
        <w:autoSpaceDN w:val="0"/>
        <w:adjustRightInd w:val="0"/>
        <w:spacing w:after="0"/>
        <w:ind w:left="720"/>
        <w:rPr>
          <w:sz w:val="22"/>
          <w:szCs w:val="22"/>
        </w:rPr>
      </w:pPr>
    </w:p>
    <w:p w14:paraId="03B6AB59" w14:textId="77777777" w:rsidR="00BD0E2E" w:rsidRPr="00A05F90" w:rsidRDefault="00BD0E2E" w:rsidP="00460D2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t xml:space="preserve">Due to Covid-19 the Council received a one off funding payment of £1.1m from Central Government </w:t>
      </w:r>
      <w:r w:rsidR="00BD1572" w:rsidRPr="00A03F7B">
        <w:rPr>
          <w:rFonts w:cs="Arial"/>
          <w:color w:val="auto"/>
          <w:sz w:val="22"/>
          <w:szCs w:val="22"/>
        </w:rPr>
        <w:t xml:space="preserve">for 2020/21 </w:t>
      </w:r>
      <w:r w:rsidRPr="00A03F7B">
        <w:rPr>
          <w:rFonts w:cs="Arial"/>
          <w:color w:val="auto"/>
          <w:sz w:val="22"/>
          <w:szCs w:val="22"/>
        </w:rPr>
        <w:t xml:space="preserve">as a hardship fund to help support CTR recipients with payment of the Council Tax. </w:t>
      </w:r>
      <w:r w:rsidR="008D158C" w:rsidRPr="00A03F7B">
        <w:rPr>
          <w:rFonts w:cs="Arial"/>
          <w:color w:val="auto"/>
          <w:sz w:val="22"/>
          <w:szCs w:val="22"/>
        </w:rPr>
        <w:t xml:space="preserve">The Government recommended payments of up to £150 to cover outstanding council tax liability although given the </w:t>
      </w:r>
      <w:r w:rsidR="00332E59" w:rsidRPr="00A03F7B">
        <w:rPr>
          <w:rFonts w:cs="Arial"/>
          <w:color w:val="auto"/>
          <w:sz w:val="22"/>
          <w:szCs w:val="22"/>
        </w:rPr>
        <w:t>Councils 1</w:t>
      </w:r>
      <w:r w:rsidR="00690950" w:rsidRPr="00A03F7B">
        <w:rPr>
          <w:rFonts w:cs="Arial"/>
          <w:color w:val="auto"/>
          <w:sz w:val="22"/>
          <w:szCs w:val="22"/>
        </w:rPr>
        <w:t xml:space="preserve">00% funded CTR </w:t>
      </w:r>
      <w:r w:rsidR="00690950" w:rsidRPr="00A03F7B">
        <w:rPr>
          <w:rFonts w:cs="Arial"/>
          <w:color w:val="auto"/>
          <w:sz w:val="22"/>
          <w:szCs w:val="22"/>
        </w:rPr>
        <w:lastRenderedPageBreak/>
        <w:t>scheme the Council</w:t>
      </w:r>
      <w:r w:rsidR="00332E59" w:rsidRPr="00A03F7B">
        <w:rPr>
          <w:rFonts w:cs="Arial"/>
          <w:color w:val="auto"/>
          <w:sz w:val="22"/>
          <w:szCs w:val="22"/>
        </w:rPr>
        <w:t xml:space="preserve"> </w:t>
      </w:r>
      <w:r w:rsidR="00690950" w:rsidRPr="00A03F7B">
        <w:rPr>
          <w:rFonts w:cs="Arial"/>
          <w:color w:val="auto"/>
          <w:sz w:val="22"/>
          <w:szCs w:val="22"/>
        </w:rPr>
        <w:t xml:space="preserve">has been able to increase this </w:t>
      </w:r>
      <w:r w:rsidR="00BD1572" w:rsidRPr="00A03F7B">
        <w:rPr>
          <w:rFonts w:cs="Arial"/>
          <w:color w:val="auto"/>
          <w:sz w:val="22"/>
          <w:szCs w:val="22"/>
        </w:rPr>
        <w:t xml:space="preserve">up to </w:t>
      </w:r>
      <w:r w:rsidRPr="00A03F7B">
        <w:rPr>
          <w:rFonts w:cs="Arial"/>
          <w:color w:val="auto"/>
          <w:sz w:val="22"/>
          <w:szCs w:val="22"/>
        </w:rPr>
        <w:t xml:space="preserve">£250 </w:t>
      </w:r>
      <w:r w:rsidR="00332E59" w:rsidRPr="00A03F7B">
        <w:rPr>
          <w:rFonts w:cs="Arial"/>
          <w:color w:val="auto"/>
          <w:sz w:val="22"/>
          <w:szCs w:val="22"/>
        </w:rPr>
        <w:t>as a discount towards</w:t>
      </w:r>
      <w:r w:rsidRPr="00A03F7B">
        <w:rPr>
          <w:rFonts w:cs="Arial"/>
          <w:color w:val="auto"/>
          <w:sz w:val="22"/>
          <w:szCs w:val="22"/>
        </w:rPr>
        <w:t xml:space="preserve"> </w:t>
      </w:r>
      <w:r w:rsidR="00BD1572" w:rsidRPr="00A03F7B">
        <w:rPr>
          <w:rFonts w:cs="Arial"/>
          <w:color w:val="auto"/>
          <w:sz w:val="22"/>
          <w:szCs w:val="22"/>
        </w:rPr>
        <w:t xml:space="preserve"> </w:t>
      </w:r>
      <w:r w:rsidR="00952689">
        <w:rPr>
          <w:rFonts w:cs="Arial"/>
          <w:color w:val="auto"/>
          <w:sz w:val="22"/>
          <w:szCs w:val="22"/>
        </w:rPr>
        <w:t xml:space="preserve">the residual element of </w:t>
      </w:r>
      <w:r w:rsidR="00BD1572" w:rsidRPr="00A03F7B">
        <w:rPr>
          <w:rFonts w:cs="Arial"/>
          <w:color w:val="auto"/>
          <w:sz w:val="22"/>
          <w:szCs w:val="22"/>
        </w:rPr>
        <w:t>Council Tax</w:t>
      </w:r>
      <w:r w:rsidR="00952689">
        <w:rPr>
          <w:rFonts w:cs="Arial"/>
          <w:color w:val="auto"/>
          <w:sz w:val="22"/>
          <w:szCs w:val="22"/>
        </w:rPr>
        <w:t>.</w:t>
      </w:r>
      <w:r w:rsidRPr="00A03F7B">
        <w:rPr>
          <w:rFonts w:cs="Arial"/>
          <w:color w:val="auto"/>
          <w:sz w:val="22"/>
          <w:szCs w:val="22"/>
        </w:rPr>
        <w:t xml:space="preserve"> </w:t>
      </w:r>
    </w:p>
    <w:p w14:paraId="321C7A22" w14:textId="77777777" w:rsidR="00A05F90" w:rsidRPr="00A03F7B" w:rsidRDefault="00A05F90" w:rsidP="00A05F90">
      <w:pPr>
        <w:pStyle w:val="ListParagraph"/>
        <w:numPr>
          <w:ilvl w:val="0"/>
          <w:numId w:val="0"/>
        </w:numPr>
        <w:autoSpaceDE w:val="0"/>
        <w:autoSpaceDN w:val="0"/>
        <w:adjustRightInd w:val="0"/>
        <w:spacing w:after="0"/>
        <w:ind w:left="720"/>
        <w:rPr>
          <w:rFonts w:eastAsia="Calibri" w:cs="Arial"/>
          <w:color w:val="auto"/>
          <w:sz w:val="22"/>
          <w:szCs w:val="22"/>
          <w:lang w:eastAsia="en-US"/>
        </w:rPr>
      </w:pPr>
    </w:p>
    <w:p w14:paraId="11D82570" w14:textId="77777777" w:rsidR="00DE038E" w:rsidRPr="00A03F7B" w:rsidRDefault="00DE038E" w:rsidP="00A03F7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t>When the Council set its budget in February 2020 the annual estimated total loss of</w:t>
      </w:r>
    </w:p>
    <w:p w14:paraId="098640AC" w14:textId="00F2566D" w:rsidR="00A05F90" w:rsidRDefault="0026788A" w:rsidP="0006230D">
      <w:pPr>
        <w:autoSpaceDE w:val="0"/>
        <w:autoSpaceDN w:val="0"/>
        <w:ind w:left="720"/>
        <w:rPr>
          <w:rFonts w:cs="Arial"/>
          <w:color w:val="auto"/>
          <w:sz w:val="22"/>
          <w:szCs w:val="22"/>
        </w:rPr>
      </w:pPr>
      <w:r w:rsidRPr="00460D2B">
        <w:rPr>
          <w:rFonts w:cs="Arial"/>
          <w:color w:val="auto"/>
          <w:sz w:val="22"/>
          <w:szCs w:val="22"/>
        </w:rPr>
        <w:t>Income</w:t>
      </w:r>
      <w:r w:rsidR="00B61E2D">
        <w:rPr>
          <w:rFonts w:cs="Arial"/>
          <w:color w:val="auto"/>
          <w:sz w:val="22"/>
          <w:szCs w:val="22"/>
        </w:rPr>
        <w:t xml:space="preserve"> arising from CTR was £11m</w:t>
      </w:r>
      <w:r w:rsidR="00DE038E" w:rsidRPr="00460D2B">
        <w:rPr>
          <w:rFonts w:cs="Arial"/>
          <w:color w:val="auto"/>
          <w:sz w:val="22"/>
          <w:szCs w:val="22"/>
        </w:rPr>
        <w:t xml:space="preserve"> based on </w:t>
      </w:r>
      <w:r w:rsidR="00B61E2D">
        <w:rPr>
          <w:rFonts w:cs="Arial"/>
          <w:color w:val="auto"/>
          <w:sz w:val="22"/>
          <w:szCs w:val="22"/>
        </w:rPr>
        <w:t>a net CTR caseload of approximately 9,539. M</w:t>
      </w:r>
      <w:r w:rsidR="00DE038E">
        <w:rPr>
          <w:rFonts w:cs="Arial"/>
          <w:color w:val="auto"/>
          <w:sz w:val="22"/>
          <w:szCs w:val="22"/>
        </w:rPr>
        <w:t>ore recent figures r</w:t>
      </w:r>
      <w:r w:rsidR="00B61E2D">
        <w:rPr>
          <w:rFonts w:cs="Arial"/>
          <w:color w:val="auto"/>
          <w:sz w:val="22"/>
          <w:szCs w:val="22"/>
        </w:rPr>
        <w:t>eflect</w:t>
      </w:r>
      <w:r w:rsidR="00460D2B" w:rsidRPr="00460D2B">
        <w:rPr>
          <w:rFonts w:cs="Arial"/>
          <w:color w:val="auto"/>
          <w:sz w:val="22"/>
          <w:szCs w:val="22"/>
        </w:rPr>
        <w:t xml:space="preserve"> an increase as a result of the COVID19 pandemic, </w:t>
      </w:r>
      <w:r w:rsidR="00B61E2D">
        <w:rPr>
          <w:rFonts w:cs="Arial"/>
          <w:color w:val="auto"/>
          <w:sz w:val="22"/>
          <w:szCs w:val="22"/>
        </w:rPr>
        <w:t xml:space="preserve">and indicate that </w:t>
      </w:r>
      <w:r w:rsidR="00DE038E">
        <w:rPr>
          <w:rFonts w:cs="Arial"/>
          <w:color w:val="auto"/>
          <w:sz w:val="22"/>
          <w:szCs w:val="22"/>
        </w:rPr>
        <w:t xml:space="preserve">this total council tax income loss </w:t>
      </w:r>
      <w:r w:rsidR="00332E59">
        <w:rPr>
          <w:rFonts w:cs="Arial"/>
          <w:color w:val="auto"/>
          <w:sz w:val="22"/>
          <w:szCs w:val="22"/>
        </w:rPr>
        <w:t>has risen t</w:t>
      </w:r>
      <w:r w:rsidR="00460D2B" w:rsidRPr="00460D2B">
        <w:rPr>
          <w:rFonts w:cs="Arial"/>
          <w:color w:val="auto"/>
          <w:sz w:val="22"/>
          <w:szCs w:val="22"/>
        </w:rPr>
        <w:t xml:space="preserve">o </w:t>
      </w:r>
      <w:r w:rsidR="00B61E2D">
        <w:rPr>
          <w:rFonts w:cs="Arial"/>
          <w:bCs/>
          <w:color w:val="auto"/>
          <w:sz w:val="22"/>
          <w:szCs w:val="22"/>
        </w:rPr>
        <w:t>£11.985m</w:t>
      </w:r>
      <w:r w:rsidR="00460D2B" w:rsidRPr="00460D2B">
        <w:rPr>
          <w:rFonts w:cs="Arial"/>
          <w:color w:val="auto"/>
          <w:sz w:val="22"/>
          <w:szCs w:val="22"/>
        </w:rPr>
        <w:t xml:space="preserve"> </w:t>
      </w:r>
      <w:r w:rsidR="00B61E2D">
        <w:rPr>
          <w:rFonts w:cs="Arial"/>
          <w:color w:val="auto"/>
          <w:sz w:val="22"/>
          <w:szCs w:val="22"/>
        </w:rPr>
        <w:t>albeit that approximately £575k</w:t>
      </w:r>
      <w:r w:rsidR="00DE038E">
        <w:rPr>
          <w:rFonts w:cs="Arial"/>
          <w:color w:val="auto"/>
          <w:sz w:val="22"/>
          <w:szCs w:val="22"/>
        </w:rPr>
        <w:t xml:space="preserve"> </w:t>
      </w:r>
      <w:r w:rsidR="00332E59">
        <w:rPr>
          <w:rFonts w:cs="Arial"/>
          <w:color w:val="auto"/>
          <w:sz w:val="22"/>
          <w:szCs w:val="22"/>
        </w:rPr>
        <w:t>w</w:t>
      </w:r>
      <w:r w:rsidR="00DE038E">
        <w:rPr>
          <w:rFonts w:cs="Arial"/>
          <w:color w:val="auto"/>
          <w:sz w:val="22"/>
          <w:szCs w:val="22"/>
        </w:rPr>
        <w:t>ill be met by the one off hardship fund grant</w:t>
      </w:r>
      <w:r w:rsidR="00460D2B" w:rsidRPr="00460D2B">
        <w:rPr>
          <w:rFonts w:cs="Arial"/>
          <w:color w:val="auto"/>
          <w:sz w:val="22"/>
          <w:szCs w:val="22"/>
        </w:rPr>
        <w:t xml:space="preserve">. The Council’s share of this loss of income based on the Council’s Band D council tax at the time that the budget was set was </w:t>
      </w:r>
      <w:r w:rsidR="00460D2B" w:rsidRPr="00460D2B">
        <w:rPr>
          <w:rFonts w:cs="Arial"/>
          <w:bCs/>
          <w:color w:val="auto"/>
          <w:sz w:val="22"/>
          <w:szCs w:val="22"/>
        </w:rPr>
        <w:t>£1.706</w:t>
      </w:r>
      <w:r w:rsidR="00460D2B" w:rsidRPr="00460D2B">
        <w:rPr>
          <w:rFonts w:cs="Arial"/>
          <w:color w:val="auto"/>
          <w:sz w:val="22"/>
          <w:szCs w:val="22"/>
        </w:rPr>
        <w:t xml:space="preserve"> million, </w:t>
      </w:r>
      <w:r w:rsidR="00332E59">
        <w:rPr>
          <w:rFonts w:cs="Arial"/>
          <w:color w:val="auto"/>
          <w:sz w:val="22"/>
          <w:szCs w:val="22"/>
        </w:rPr>
        <w:t xml:space="preserve">and </w:t>
      </w:r>
      <w:r w:rsidR="00460D2B" w:rsidRPr="00460D2B">
        <w:rPr>
          <w:rFonts w:cs="Arial"/>
          <w:color w:val="auto"/>
          <w:sz w:val="22"/>
          <w:szCs w:val="22"/>
        </w:rPr>
        <w:t xml:space="preserve">this has now risen to </w:t>
      </w:r>
      <w:r w:rsidR="00460D2B" w:rsidRPr="00460D2B">
        <w:rPr>
          <w:rFonts w:cs="Arial"/>
          <w:bCs/>
          <w:color w:val="auto"/>
          <w:sz w:val="22"/>
          <w:szCs w:val="22"/>
        </w:rPr>
        <w:t>£1.769</w:t>
      </w:r>
      <w:r w:rsidR="00460D2B" w:rsidRPr="00460D2B">
        <w:rPr>
          <w:rFonts w:cs="Arial"/>
          <w:color w:val="auto"/>
          <w:sz w:val="22"/>
          <w:szCs w:val="22"/>
        </w:rPr>
        <w:t xml:space="preserve"> million. The </w:t>
      </w:r>
      <w:r w:rsidR="00460D2B" w:rsidRPr="0092468D">
        <w:rPr>
          <w:rFonts w:cs="Arial"/>
          <w:color w:val="auto"/>
          <w:sz w:val="22"/>
          <w:szCs w:val="22"/>
        </w:rPr>
        <w:t>balance of the income loss is picked up by the major preceptors, Oxfordshire</w:t>
      </w:r>
      <w:r w:rsidR="00F95E17" w:rsidRPr="0092468D">
        <w:rPr>
          <w:rFonts w:cs="Arial"/>
          <w:color w:val="auto"/>
          <w:sz w:val="22"/>
          <w:szCs w:val="22"/>
        </w:rPr>
        <w:t xml:space="preserve"> County Council</w:t>
      </w:r>
      <w:r w:rsidR="00460D2B" w:rsidRPr="0092468D">
        <w:rPr>
          <w:rFonts w:cs="Arial"/>
          <w:color w:val="auto"/>
          <w:sz w:val="22"/>
          <w:szCs w:val="22"/>
        </w:rPr>
        <w:t xml:space="preserve"> and the Thames Valley PCC.</w:t>
      </w:r>
    </w:p>
    <w:p w14:paraId="5F12BE72" w14:textId="7BF8556E" w:rsidR="00A05F90" w:rsidRPr="0006230D" w:rsidRDefault="00082D37" w:rsidP="0006230D">
      <w:pPr>
        <w:pStyle w:val="ListParagraph"/>
        <w:numPr>
          <w:ilvl w:val="0"/>
          <w:numId w:val="6"/>
        </w:numPr>
        <w:autoSpaceDE w:val="0"/>
        <w:autoSpaceDN w:val="0"/>
        <w:rPr>
          <w:rFonts w:cs="Arial"/>
          <w:color w:val="auto"/>
          <w:sz w:val="22"/>
          <w:szCs w:val="22"/>
        </w:rPr>
      </w:pPr>
      <w:r w:rsidRPr="00A05F90">
        <w:rPr>
          <w:rFonts w:cs="Arial"/>
          <w:color w:val="auto"/>
          <w:sz w:val="22"/>
          <w:szCs w:val="22"/>
        </w:rPr>
        <w:t>By continuing to award up to 100% CTR this continues to support the residents of Oxford from going further into poverty and building up Council Tax debts. It is important that those on low incomes are not penalised by reducing the support currently available.</w:t>
      </w:r>
    </w:p>
    <w:p w14:paraId="6D20FEC4" w14:textId="00CA7417" w:rsidR="00A05F90" w:rsidRPr="0006230D" w:rsidRDefault="00DE038E" w:rsidP="0006230D">
      <w:pPr>
        <w:pStyle w:val="ListParagraph"/>
        <w:numPr>
          <w:ilvl w:val="0"/>
          <w:numId w:val="6"/>
        </w:numPr>
        <w:autoSpaceDE w:val="0"/>
        <w:autoSpaceDN w:val="0"/>
        <w:rPr>
          <w:rFonts w:cs="Arial"/>
          <w:color w:val="auto"/>
          <w:sz w:val="22"/>
          <w:szCs w:val="22"/>
        </w:rPr>
      </w:pPr>
      <w:r w:rsidRPr="0092468D">
        <w:rPr>
          <w:rFonts w:cs="Arial"/>
          <w:sz w:val="22"/>
          <w:szCs w:val="22"/>
        </w:rPr>
        <w:t>In preparing its Consultation Budget presented to Cabinet on 9</w:t>
      </w:r>
      <w:r w:rsidRPr="0092468D">
        <w:rPr>
          <w:rFonts w:cs="Arial"/>
          <w:sz w:val="22"/>
          <w:szCs w:val="22"/>
          <w:vertAlign w:val="superscript"/>
        </w:rPr>
        <w:t>th</w:t>
      </w:r>
      <w:r w:rsidRPr="0092468D">
        <w:rPr>
          <w:rFonts w:cs="Arial"/>
          <w:sz w:val="22"/>
          <w:szCs w:val="22"/>
        </w:rPr>
        <w:t xml:space="preserve"> December the Council</w:t>
      </w:r>
      <w:r w:rsidR="00B61E2D" w:rsidRPr="0092468D">
        <w:rPr>
          <w:rFonts w:cs="Arial"/>
          <w:sz w:val="22"/>
          <w:szCs w:val="22"/>
        </w:rPr>
        <w:t>,</w:t>
      </w:r>
      <w:r w:rsidRPr="0092468D">
        <w:rPr>
          <w:rFonts w:cs="Arial"/>
          <w:sz w:val="22"/>
          <w:szCs w:val="22"/>
        </w:rPr>
        <w:t xml:space="preserve"> </w:t>
      </w:r>
      <w:r w:rsidR="00332E59" w:rsidRPr="0092468D">
        <w:rPr>
          <w:rFonts w:cs="Arial"/>
          <w:sz w:val="22"/>
          <w:szCs w:val="22"/>
        </w:rPr>
        <w:t xml:space="preserve">in </w:t>
      </w:r>
      <w:r w:rsidR="00657E26" w:rsidRPr="0092468D">
        <w:rPr>
          <w:rFonts w:cs="Arial"/>
          <w:sz w:val="22"/>
          <w:szCs w:val="22"/>
        </w:rPr>
        <w:t>determining</w:t>
      </w:r>
      <w:r w:rsidR="00332E59" w:rsidRPr="0092468D">
        <w:rPr>
          <w:rFonts w:cs="Arial"/>
          <w:sz w:val="22"/>
          <w:szCs w:val="22"/>
        </w:rPr>
        <w:t xml:space="preserve"> it</w:t>
      </w:r>
      <w:r w:rsidR="00E76532" w:rsidRPr="0092468D">
        <w:rPr>
          <w:rFonts w:cs="Arial"/>
          <w:sz w:val="22"/>
          <w:szCs w:val="22"/>
        </w:rPr>
        <w:t>s</w:t>
      </w:r>
      <w:r w:rsidR="00332E59" w:rsidRPr="0092468D">
        <w:rPr>
          <w:rFonts w:cs="Arial"/>
          <w:sz w:val="22"/>
          <w:szCs w:val="22"/>
        </w:rPr>
        <w:t xml:space="preserve"> Corporate Priorities</w:t>
      </w:r>
      <w:r w:rsidR="00B61E2D" w:rsidRPr="0092468D">
        <w:rPr>
          <w:rFonts w:cs="Arial"/>
          <w:sz w:val="22"/>
          <w:szCs w:val="22"/>
        </w:rPr>
        <w:t>,</w:t>
      </w:r>
      <w:r w:rsidR="00332E59" w:rsidRPr="0092468D">
        <w:rPr>
          <w:rFonts w:cs="Arial"/>
          <w:sz w:val="22"/>
          <w:szCs w:val="22"/>
        </w:rPr>
        <w:t xml:space="preserve"> </w:t>
      </w:r>
      <w:r w:rsidR="00E76532" w:rsidRPr="0092468D">
        <w:rPr>
          <w:rFonts w:cs="Arial"/>
          <w:sz w:val="22"/>
          <w:szCs w:val="22"/>
        </w:rPr>
        <w:t>continued to provide maximum financial support for residents in receipt of CTR</w:t>
      </w:r>
      <w:r w:rsidR="00657E26" w:rsidRPr="0092468D">
        <w:rPr>
          <w:rFonts w:cs="Arial"/>
          <w:sz w:val="22"/>
          <w:szCs w:val="22"/>
        </w:rPr>
        <w:t>,</w:t>
      </w:r>
      <w:r w:rsidR="00E76532" w:rsidRPr="0092468D">
        <w:rPr>
          <w:rFonts w:cs="Arial"/>
          <w:sz w:val="22"/>
          <w:szCs w:val="22"/>
        </w:rPr>
        <w:t xml:space="preserve"> factoring in the cost of such support into its budget plans. </w:t>
      </w:r>
      <w:r w:rsidR="00657E26" w:rsidRPr="0092468D">
        <w:rPr>
          <w:rFonts w:cs="Arial"/>
          <w:sz w:val="22"/>
          <w:szCs w:val="22"/>
        </w:rPr>
        <w:t xml:space="preserve">This is in line with the consultation responses which equally provided strong support for action. </w:t>
      </w:r>
      <w:r w:rsidR="00E76532" w:rsidRPr="0092468D">
        <w:rPr>
          <w:rFonts w:cs="Arial"/>
          <w:sz w:val="22"/>
          <w:szCs w:val="22"/>
        </w:rPr>
        <w:t>In addition</w:t>
      </w:r>
      <w:r w:rsidR="00B61E2D" w:rsidRPr="0092468D">
        <w:rPr>
          <w:rFonts w:cs="Arial"/>
          <w:sz w:val="22"/>
          <w:szCs w:val="22"/>
        </w:rPr>
        <w:t>,</w:t>
      </w:r>
      <w:r w:rsidR="00E76532" w:rsidRPr="0092468D">
        <w:rPr>
          <w:rFonts w:cs="Arial"/>
          <w:sz w:val="22"/>
          <w:szCs w:val="22"/>
        </w:rPr>
        <w:t xml:space="preserve"> an amount of £120k </w:t>
      </w:r>
      <w:r w:rsidR="00B61E2D" w:rsidRPr="0092468D">
        <w:rPr>
          <w:rFonts w:cs="Arial"/>
          <w:sz w:val="22"/>
          <w:szCs w:val="22"/>
        </w:rPr>
        <w:t xml:space="preserve">of </w:t>
      </w:r>
      <w:r w:rsidR="00E76532" w:rsidRPr="0092468D">
        <w:rPr>
          <w:rFonts w:cs="Arial"/>
          <w:sz w:val="22"/>
          <w:szCs w:val="22"/>
        </w:rPr>
        <w:t xml:space="preserve">savings was included </w:t>
      </w:r>
      <w:r w:rsidR="00657E26" w:rsidRPr="0092468D">
        <w:rPr>
          <w:rFonts w:cs="Arial"/>
          <w:sz w:val="22"/>
          <w:szCs w:val="22"/>
        </w:rPr>
        <w:t xml:space="preserve">in the Councils Budget </w:t>
      </w:r>
      <w:r w:rsidR="00E76532" w:rsidRPr="0092468D">
        <w:rPr>
          <w:rFonts w:cs="Arial"/>
          <w:sz w:val="22"/>
          <w:szCs w:val="22"/>
        </w:rPr>
        <w:t xml:space="preserve">which </w:t>
      </w:r>
      <w:r w:rsidR="00657E26" w:rsidRPr="0092468D">
        <w:rPr>
          <w:rFonts w:cs="Arial"/>
          <w:sz w:val="22"/>
          <w:szCs w:val="22"/>
        </w:rPr>
        <w:t xml:space="preserve">will </w:t>
      </w:r>
      <w:r w:rsidR="00E76532" w:rsidRPr="0092468D">
        <w:rPr>
          <w:rFonts w:cs="Arial"/>
          <w:sz w:val="22"/>
          <w:szCs w:val="22"/>
        </w:rPr>
        <w:t xml:space="preserve">be </w:t>
      </w:r>
      <w:r w:rsidR="00657E26" w:rsidRPr="0092468D">
        <w:rPr>
          <w:rFonts w:cs="Arial"/>
          <w:sz w:val="22"/>
          <w:szCs w:val="22"/>
        </w:rPr>
        <w:t>achieved</w:t>
      </w:r>
      <w:r w:rsidR="00E76532" w:rsidRPr="0092468D">
        <w:rPr>
          <w:rFonts w:cs="Arial"/>
          <w:sz w:val="22"/>
          <w:szCs w:val="22"/>
        </w:rPr>
        <w:t xml:space="preserve"> from the changes in administrati</w:t>
      </w:r>
      <w:r w:rsidR="001F588F" w:rsidRPr="0092468D">
        <w:rPr>
          <w:rFonts w:cs="Arial"/>
          <w:sz w:val="22"/>
          <w:szCs w:val="22"/>
        </w:rPr>
        <w:t>on</w:t>
      </w:r>
      <w:r w:rsidR="00E76532" w:rsidRPr="0092468D">
        <w:rPr>
          <w:rFonts w:cs="Arial"/>
          <w:sz w:val="22"/>
          <w:szCs w:val="22"/>
        </w:rPr>
        <w:t xml:space="preserve"> </w:t>
      </w:r>
      <w:r w:rsidR="001F588F" w:rsidRPr="0092468D">
        <w:rPr>
          <w:rFonts w:cs="Arial"/>
          <w:sz w:val="22"/>
          <w:szCs w:val="22"/>
        </w:rPr>
        <w:t>of</w:t>
      </w:r>
      <w:r w:rsidR="00E76532" w:rsidRPr="0092468D">
        <w:rPr>
          <w:rFonts w:cs="Arial"/>
          <w:sz w:val="22"/>
          <w:szCs w:val="22"/>
        </w:rPr>
        <w:t xml:space="preserve"> the CTR scheme as identified </w:t>
      </w:r>
      <w:r w:rsidR="001F588F" w:rsidRPr="0092468D">
        <w:rPr>
          <w:rFonts w:cs="Arial"/>
          <w:sz w:val="22"/>
          <w:szCs w:val="22"/>
        </w:rPr>
        <w:t>in paragr</w:t>
      </w:r>
      <w:r w:rsidR="00F95E17" w:rsidRPr="0092468D">
        <w:rPr>
          <w:rFonts w:cs="Arial"/>
          <w:sz w:val="22"/>
          <w:szCs w:val="22"/>
        </w:rPr>
        <w:t>aph 1</w:t>
      </w:r>
      <w:r w:rsidR="00FC1ACD">
        <w:rPr>
          <w:rFonts w:cs="Arial"/>
          <w:sz w:val="22"/>
          <w:szCs w:val="22"/>
        </w:rPr>
        <w:t xml:space="preserve">6 </w:t>
      </w:r>
      <w:r w:rsidR="00E76532" w:rsidRPr="0092468D">
        <w:rPr>
          <w:rFonts w:cs="Arial"/>
          <w:sz w:val="22"/>
          <w:szCs w:val="22"/>
        </w:rPr>
        <w:t>above</w:t>
      </w:r>
      <w:r w:rsidR="001F588F" w:rsidRPr="0092468D">
        <w:rPr>
          <w:rFonts w:cs="Arial"/>
          <w:sz w:val="22"/>
          <w:szCs w:val="22"/>
        </w:rPr>
        <w:t xml:space="preserve"> primarily in relation to Income banding</w:t>
      </w:r>
      <w:r w:rsidR="00E76532" w:rsidRPr="0092468D">
        <w:rPr>
          <w:rFonts w:cs="Arial"/>
          <w:sz w:val="22"/>
          <w:szCs w:val="22"/>
        </w:rPr>
        <w:t xml:space="preserve">. </w:t>
      </w:r>
    </w:p>
    <w:p w14:paraId="3532E223" w14:textId="77777777" w:rsidR="0006230D" w:rsidRPr="0006230D" w:rsidRDefault="0006230D" w:rsidP="0006230D">
      <w:pPr>
        <w:pStyle w:val="ListParagraph"/>
        <w:numPr>
          <w:ilvl w:val="0"/>
          <w:numId w:val="0"/>
        </w:numPr>
        <w:autoSpaceDE w:val="0"/>
        <w:autoSpaceDN w:val="0"/>
        <w:ind w:left="720"/>
        <w:rPr>
          <w:rFonts w:cs="Arial"/>
          <w:color w:val="auto"/>
          <w:sz w:val="22"/>
          <w:szCs w:val="22"/>
        </w:rPr>
      </w:pPr>
      <w:bookmarkStart w:id="0" w:name="_GoBack"/>
      <w:bookmarkEnd w:id="0"/>
    </w:p>
    <w:p w14:paraId="40B00185" w14:textId="278E973B" w:rsidR="00A05F90" w:rsidRPr="0006230D" w:rsidRDefault="009F773B" w:rsidP="0006230D">
      <w:pPr>
        <w:pStyle w:val="ListParagraph"/>
        <w:numPr>
          <w:ilvl w:val="0"/>
          <w:numId w:val="6"/>
        </w:numPr>
        <w:autoSpaceDE w:val="0"/>
        <w:autoSpaceDN w:val="0"/>
        <w:rPr>
          <w:rFonts w:cs="Arial"/>
          <w:color w:val="auto"/>
          <w:sz w:val="22"/>
          <w:szCs w:val="22"/>
        </w:rPr>
      </w:pPr>
      <w:r w:rsidRPr="0092468D">
        <w:rPr>
          <w:color w:val="auto"/>
          <w:sz w:val="22"/>
          <w:szCs w:val="22"/>
        </w:rPr>
        <w:t>The scheme is administered alongside payment of Housing Benefit by 31fte staff at a gross cost of £1.32m per annum for 2020-21 .Central Government issues a grant to compensate local authorities for the cost of administering Local Council Tax Support (LCTS) and Housing Benefit. For 2020/21 OCC will receive £144,762 for CTR administration, and Housing Benefit Administration grant of £420,278. With some other smaller grants for increased workloads this results in a net annual cost for administration of both Housing Benefit and CTR of £353,167. As universal credit is rolled out the administration grant is likely to be reduced further</w:t>
      </w:r>
      <w:r w:rsidR="00952689" w:rsidRPr="0092468D">
        <w:rPr>
          <w:color w:val="auto"/>
          <w:sz w:val="22"/>
          <w:szCs w:val="22"/>
        </w:rPr>
        <w:t xml:space="preserve"> as will the cost of administration. Provision has been made in the Council MTFS for both these eventualities</w:t>
      </w:r>
      <w:r w:rsidR="00A05F90">
        <w:rPr>
          <w:color w:val="auto"/>
          <w:sz w:val="22"/>
          <w:szCs w:val="22"/>
        </w:rPr>
        <w:t>.</w:t>
      </w:r>
    </w:p>
    <w:p w14:paraId="212E07EB" w14:textId="61018B9B" w:rsidR="00A05F90" w:rsidRPr="0006230D" w:rsidRDefault="00185FA5" w:rsidP="0006230D">
      <w:pPr>
        <w:pStyle w:val="ListParagraph"/>
        <w:numPr>
          <w:ilvl w:val="0"/>
          <w:numId w:val="6"/>
        </w:numPr>
        <w:autoSpaceDE w:val="0"/>
        <w:autoSpaceDN w:val="0"/>
        <w:rPr>
          <w:rFonts w:cs="Arial"/>
          <w:color w:val="auto"/>
          <w:sz w:val="22"/>
          <w:szCs w:val="22"/>
        </w:rPr>
      </w:pPr>
      <w:r w:rsidRPr="001E0114">
        <w:rPr>
          <w:rFonts w:cs="Arial"/>
          <w:sz w:val="22"/>
          <w:szCs w:val="22"/>
        </w:rPr>
        <w:t>The</w:t>
      </w:r>
      <w:r w:rsidR="005F54B4" w:rsidRPr="001E0114">
        <w:rPr>
          <w:rFonts w:cs="Arial"/>
          <w:sz w:val="22"/>
          <w:szCs w:val="22"/>
        </w:rPr>
        <w:t xml:space="preserve"> proposed changes to the scheme </w:t>
      </w:r>
      <w:r w:rsidR="00296BD9" w:rsidRPr="001E0114">
        <w:rPr>
          <w:rFonts w:cs="Arial"/>
          <w:sz w:val="22"/>
          <w:szCs w:val="22"/>
        </w:rPr>
        <w:t>are not expected to increase</w:t>
      </w:r>
      <w:r w:rsidR="00EC490E" w:rsidRPr="001E0114">
        <w:rPr>
          <w:rFonts w:cs="Arial"/>
          <w:sz w:val="22"/>
          <w:szCs w:val="22"/>
        </w:rPr>
        <w:t xml:space="preserve"> the scheme’s cost</w:t>
      </w:r>
      <w:r w:rsidR="005F54B4" w:rsidRPr="001E0114">
        <w:rPr>
          <w:rFonts w:cs="Arial"/>
          <w:sz w:val="22"/>
          <w:szCs w:val="22"/>
        </w:rPr>
        <w:t xml:space="preserve">. The bandings in the income band scheme are being uprated in line with expected </w:t>
      </w:r>
      <w:r w:rsidR="00EB7341" w:rsidRPr="001E0114">
        <w:rPr>
          <w:rFonts w:cs="Arial"/>
          <w:sz w:val="22"/>
          <w:szCs w:val="22"/>
        </w:rPr>
        <w:t xml:space="preserve">increases in wages, and so this change should ensure current recipients of support stay in the same band as their </w:t>
      </w:r>
      <w:r w:rsidR="0003295F" w:rsidRPr="001E0114">
        <w:rPr>
          <w:rFonts w:cs="Arial"/>
          <w:sz w:val="22"/>
          <w:szCs w:val="22"/>
        </w:rPr>
        <w:t>income increases</w:t>
      </w:r>
      <w:r w:rsidR="00EB7341" w:rsidRPr="001E0114">
        <w:rPr>
          <w:rFonts w:cs="Arial"/>
          <w:sz w:val="22"/>
          <w:szCs w:val="22"/>
        </w:rPr>
        <w:t xml:space="preserve">. </w:t>
      </w:r>
      <w:r w:rsidR="00EC490E" w:rsidRPr="001E0114">
        <w:rPr>
          <w:rFonts w:cs="Arial"/>
          <w:sz w:val="22"/>
          <w:szCs w:val="22"/>
        </w:rPr>
        <w:t>As such this will have a neutral impact on cost</w:t>
      </w:r>
      <w:r w:rsidR="002C03CF" w:rsidRPr="001E0114">
        <w:rPr>
          <w:rFonts w:cs="Arial"/>
          <w:sz w:val="22"/>
          <w:szCs w:val="22"/>
        </w:rPr>
        <w:t xml:space="preserve"> to the Council</w:t>
      </w:r>
      <w:r w:rsidR="001E0114" w:rsidRPr="001E0114">
        <w:rPr>
          <w:rFonts w:cs="Arial"/>
          <w:sz w:val="22"/>
          <w:szCs w:val="22"/>
        </w:rPr>
        <w:t>, however, by using Income bands for non-UC claimants we may initially see some claimants fall into a band that may reduce or increase entitlement</w:t>
      </w:r>
      <w:r w:rsidR="00EC490E" w:rsidRPr="001E0114">
        <w:rPr>
          <w:rFonts w:cs="Arial"/>
          <w:sz w:val="22"/>
          <w:szCs w:val="22"/>
        </w:rPr>
        <w:t xml:space="preserve">. </w:t>
      </w:r>
    </w:p>
    <w:p w14:paraId="71747395" w14:textId="7EDE4C94" w:rsidR="003D07CC" w:rsidRPr="0006230D" w:rsidRDefault="00185FA5" w:rsidP="003D07CC">
      <w:pPr>
        <w:pStyle w:val="ListParagraph"/>
        <w:numPr>
          <w:ilvl w:val="0"/>
          <w:numId w:val="6"/>
        </w:numPr>
        <w:autoSpaceDE w:val="0"/>
        <w:autoSpaceDN w:val="0"/>
        <w:rPr>
          <w:rFonts w:cs="Arial"/>
          <w:color w:val="auto"/>
          <w:sz w:val="22"/>
          <w:szCs w:val="22"/>
        </w:rPr>
      </w:pPr>
      <w:r w:rsidRPr="00A03F7B">
        <w:rPr>
          <w:rFonts w:cs="Arial"/>
          <w:sz w:val="22"/>
          <w:szCs w:val="22"/>
        </w:rPr>
        <w:t xml:space="preserve">As the </w:t>
      </w:r>
      <w:r w:rsidR="002C03CF" w:rsidRPr="00A03F7B">
        <w:rPr>
          <w:rFonts w:cs="Arial"/>
          <w:sz w:val="22"/>
          <w:szCs w:val="22"/>
        </w:rPr>
        <w:t xml:space="preserve">Oxfordshire </w:t>
      </w:r>
      <w:r w:rsidRPr="00A03F7B">
        <w:rPr>
          <w:rFonts w:cs="Arial"/>
          <w:sz w:val="22"/>
          <w:szCs w:val="22"/>
        </w:rPr>
        <w:t xml:space="preserve">County Council </w:t>
      </w:r>
      <w:r w:rsidR="002C03CF" w:rsidRPr="00A03F7B">
        <w:rPr>
          <w:rFonts w:cs="Arial"/>
          <w:sz w:val="22"/>
          <w:szCs w:val="22"/>
        </w:rPr>
        <w:t xml:space="preserve">is </w:t>
      </w:r>
      <w:r w:rsidRPr="00A03F7B">
        <w:rPr>
          <w:rFonts w:cs="Arial"/>
          <w:sz w:val="22"/>
          <w:szCs w:val="22"/>
        </w:rPr>
        <w:t>the principal precepting authority, it is difficult for Oxford City Council to make significant savings in its cost of support, i.e. to save £1 an additional £6 must be raised.</w:t>
      </w:r>
      <w:r w:rsidR="00EC490E" w:rsidRPr="00A03F7B">
        <w:rPr>
          <w:rFonts w:cs="Arial"/>
          <w:sz w:val="22"/>
          <w:szCs w:val="22"/>
        </w:rPr>
        <w:t xml:space="preserve"> Reducing the</w:t>
      </w:r>
      <w:r w:rsidR="00460D2B" w:rsidRPr="00A03F7B">
        <w:rPr>
          <w:rFonts w:cs="Arial"/>
          <w:sz w:val="22"/>
          <w:szCs w:val="22"/>
        </w:rPr>
        <w:t xml:space="preserve"> amount of support provided would</w:t>
      </w:r>
      <w:r w:rsidR="00EC490E" w:rsidRPr="00A03F7B">
        <w:rPr>
          <w:rFonts w:cs="Arial"/>
          <w:sz w:val="22"/>
          <w:szCs w:val="22"/>
        </w:rPr>
        <w:t xml:space="preserve"> also lead to some administrative costs being incurred in the collection of any additional Council Tax charged.</w:t>
      </w:r>
    </w:p>
    <w:p w14:paraId="620201D8" w14:textId="77777777" w:rsidR="00185FA5" w:rsidRPr="000E4A6E" w:rsidRDefault="00185FA5" w:rsidP="0006230D">
      <w:pPr>
        <w:pStyle w:val="Heading1"/>
      </w:pPr>
      <w:r w:rsidRPr="000E4A6E">
        <w:t>Legal issues</w:t>
      </w:r>
    </w:p>
    <w:p w14:paraId="020DB1B6" w14:textId="77777777" w:rsidR="00185FA5" w:rsidRDefault="00185FA5" w:rsidP="00A03F7B">
      <w:pPr>
        <w:pStyle w:val="ListParagraph"/>
        <w:numPr>
          <w:ilvl w:val="0"/>
          <w:numId w:val="6"/>
        </w:numPr>
        <w:spacing w:before="240"/>
        <w:outlineLvl w:val="0"/>
        <w:rPr>
          <w:rFonts w:cs="Arial"/>
          <w:sz w:val="22"/>
          <w:szCs w:val="22"/>
        </w:rPr>
      </w:pPr>
      <w:r w:rsidRPr="00A03F7B">
        <w:rPr>
          <w:rFonts w:cs="Arial"/>
          <w:sz w:val="22"/>
          <w:szCs w:val="22"/>
        </w:rPr>
        <w:t xml:space="preserve">In considering changes to the CTR </w:t>
      </w:r>
      <w:r w:rsidR="002C03CF" w:rsidRPr="00A03F7B">
        <w:rPr>
          <w:rFonts w:cs="Arial"/>
          <w:sz w:val="22"/>
          <w:szCs w:val="22"/>
        </w:rPr>
        <w:t>S</w:t>
      </w:r>
      <w:r w:rsidRPr="00A03F7B">
        <w:rPr>
          <w:rFonts w:cs="Arial"/>
          <w:sz w:val="22"/>
          <w:szCs w:val="22"/>
        </w:rPr>
        <w:t>cheme, the Council must take into account the provisions of The Council Tax Reduction Schemes (Prescribed Requirements) (England) 2012 and subsequent amendments.</w:t>
      </w:r>
    </w:p>
    <w:p w14:paraId="6267385B" w14:textId="77777777" w:rsidR="00DB12D4" w:rsidRPr="00A03F7B" w:rsidRDefault="00DB12D4" w:rsidP="00A03F7B">
      <w:pPr>
        <w:pStyle w:val="ListParagraph"/>
        <w:numPr>
          <w:ilvl w:val="0"/>
          <w:numId w:val="6"/>
        </w:numPr>
        <w:spacing w:before="240"/>
        <w:outlineLvl w:val="0"/>
        <w:rPr>
          <w:rFonts w:cs="Arial"/>
          <w:sz w:val="22"/>
          <w:szCs w:val="22"/>
        </w:rPr>
      </w:pPr>
      <w:r w:rsidRPr="00A03F7B">
        <w:rPr>
          <w:sz w:val="22"/>
          <w:szCs w:val="22"/>
        </w:rPr>
        <w:t xml:space="preserve">Since the introduction of CTR </w:t>
      </w:r>
      <w:r w:rsidR="002C03CF" w:rsidRPr="00A03F7B">
        <w:rPr>
          <w:sz w:val="22"/>
          <w:szCs w:val="22"/>
        </w:rPr>
        <w:t>S</w:t>
      </w:r>
      <w:r w:rsidRPr="00A03F7B">
        <w:rPr>
          <w:sz w:val="22"/>
          <w:szCs w:val="22"/>
        </w:rPr>
        <w:t xml:space="preserve">chemes, there have been a number of legal challenges against other local schemes. Most of these challenges have been in relation to the </w:t>
      </w:r>
      <w:r w:rsidRPr="00A03F7B">
        <w:rPr>
          <w:sz w:val="22"/>
          <w:szCs w:val="22"/>
        </w:rPr>
        <w:lastRenderedPageBreak/>
        <w:t>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sidRPr="00A03F7B">
        <w:rPr>
          <w:sz w:val="22"/>
          <w:szCs w:val="22"/>
        </w:rPr>
        <w:t>ding for other services. There we</w:t>
      </w:r>
      <w:r w:rsidRPr="00A03F7B">
        <w:rPr>
          <w:sz w:val="22"/>
          <w:szCs w:val="22"/>
        </w:rPr>
        <w:t>re questions in the consultation paper on these options</w:t>
      </w:r>
      <w:r w:rsidR="006961CF" w:rsidRPr="00A03F7B">
        <w:rPr>
          <w:sz w:val="22"/>
          <w:szCs w:val="22"/>
        </w:rPr>
        <w:t>.</w:t>
      </w:r>
    </w:p>
    <w:p w14:paraId="2CE9DF77" w14:textId="77777777" w:rsidR="006B3C9A" w:rsidRPr="00A03F7B" w:rsidRDefault="006B3C9A" w:rsidP="00A03F7B">
      <w:pPr>
        <w:pStyle w:val="ListParagraph"/>
        <w:numPr>
          <w:ilvl w:val="0"/>
          <w:numId w:val="6"/>
        </w:numPr>
        <w:spacing w:before="240"/>
        <w:outlineLvl w:val="0"/>
        <w:rPr>
          <w:rFonts w:cs="Arial"/>
          <w:sz w:val="22"/>
          <w:szCs w:val="22"/>
        </w:rPr>
      </w:pPr>
      <w:r w:rsidRPr="00A03F7B">
        <w:rPr>
          <w:sz w:val="22"/>
          <w:szCs w:val="22"/>
        </w:rPr>
        <w:t xml:space="preserve">The CTR </w:t>
      </w:r>
      <w:r w:rsidR="002C03CF" w:rsidRPr="00A03F7B">
        <w:rPr>
          <w:sz w:val="22"/>
          <w:szCs w:val="22"/>
        </w:rPr>
        <w:t>S</w:t>
      </w:r>
      <w:r w:rsidRPr="00A03F7B">
        <w:rPr>
          <w:sz w:val="22"/>
          <w:szCs w:val="22"/>
        </w:rPr>
        <w:t xml:space="preserve">cheme itself must be adopted by Council, and the approval of the scheme cannot be delegated to an officer or committee. </w:t>
      </w:r>
    </w:p>
    <w:p w14:paraId="232EB1FF" w14:textId="77777777" w:rsidR="00185FA5" w:rsidRPr="00460D2B" w:rsidRDefault="00185FA5" w:rsidP="0006230D">
      <w:pPr>
        <w:pStyle w:val="Heading1"/>
      </w:pPr>
      <w:r w:rsidRPr="00460D2B">
        <w:t>Level of risk</w:t>
      </w:r>
    </w:p>
    <w:p w14:paraId="516F4E57" w14:textId="77777777" w:rsidR="00315617" w:rsidRPr="00A03F7B" w:rsidRDefault="00185FA5" w:rsidP="00A03F7B">
      <w:pPr>
        <w:pStyle w:val="ListParagraph"/>
        <w:numPr>
          <w:ilvl w:val="0"/>
          <w:numId w:val="6"/>
        </w:numPr>
        <w:rPr>
          <w:rFonts w:cs="Arial"/>
          <w:sz w:val="22"/>
          <w:szCs w:val="22"/>
        </w:rPr>
      </w:pPr>
      <w:r w:rsidRPr="00A03F7B">
        <w:rPr>
          <w:rFonts w:cs="Arial"/>
          <w:sz w:val="22"/>
          <w:szCs w:val="22"/>
        </w:rPr>
        <w:t>A risk regist</w:t>
      </w:r>
      <w:r w:rsidR="00622CDC" w:rsidRPr="00A03F7B">
        <w:rPr>
          <w:rFonts w:cs="Arial"/>
          <w:sz w:val="22"/>
          <w:szCs w:val="22"/>
        </w:rPr>
        <w:t>er is attached at Appendix 2</w:t>
      </w:r>
      <w:r w:rsidRPr="00A03F7B">
        <w:rPr>
          <w:rFonts w:cs="Arial"/>
          <w:sz w:val="22"/>
          <w:szCs w:val="22"/>
        </w:rPr>
        <w:t xml:space="preserve">. </w:t>
      </w:r>
    </w:p>
    <w:p w14:paraId="361D3D1E" w14:textId="77777777" w:rsidR="00185FA5" w:rsidRPr="00593C7D" w:rsidRDefault="00185FA5" w:rsidP="0006230D">
      <w:pPr>
        <w:pStyle w:val="Heading1"/>
      </w:pPr>
      <w:r w:rsidRPr="00593C7D">
        <w:t xml:space="preserve">Equalities impact </w:t>
      </w:r>
    </w:p>
    <w:p w14:paraId="1ABE75C0" w14:textId="6181927E" w:rsidR="00185FA5" w:rsidRPr="00A05F90" w:rsidRDefault="007B615F" w:rsidP="00A05F90">
      <w:pPr>
        <w:pStyle w:val="ListParagraph"/>
        <w:numPr>
          <w:ilvl w:val="0"/>
          <w:numId w:val="6"/>
        </w:numPr>
        <w:rPr>
          <w:rFonts w:cs="Arial"/>
          <w:sz w:val="22"/>
          <w:szCs w:val="22"/>
        </w:rPr>
      </w:pPr>
      <w:r w:rsidRPr="00A05F90">
        <w:rPr>
          <w:rFonts w:cs="Arial"/>
          <w:sz w:val="22"/>
          <w:szCs w:val="22"/>
        </w:rPr>
        <w:t xml:space="preserve">The changes proposed in this report do not have any new </w:t>
      </w:r>
      <w:r w:rsidR="00E75ACC" w:rsidRPr="00A05F90">
        <w:rPr>
          <w:rFonts w:cs="Arial"/>
          <w:sz w:val="22"/>
          <w:szCs w:val="22"/>
        </w:rPr>
        <w:t>equality impacts</w:t>
      </w:r>
      <w:r w:rsidRPr="00A05F90">
        <w:rPr>
          <w:rFonts w:cs="Arial"/>
          <w:sz w:val="22"/>
          <w:szCs w:val="22"/>
        </w:rPr>
        <w:t xml:space="preserve"> attached to them. The equality impact of the income band scheme was considered in a report to </w:t>
      </w:r>
      <w:r w:rsidR="009E5BC2" w:rsidRPr="00A05F90">
        <w:rPr>
          <w:rFonts w:cs="Arial"/>
          <w:sz w:val="22"/>
          <w:szCs w:val="22"/>
        </w:rPr>
        <w:t>Cabinet</w:t>
      </w:r>
      <w:r w:rsidRPr="00A05F90">
        <w:rPr>
          <w:rFonts w:cs="Arial"/>
          <w:sz w:val="22"/>
          <w:szCs w:val="22"/>
        </w:rPr>
        <w:t xml:space="preserve"> dated 19 December 2017.</w:t>
      </w:r>
      <w:r w:rsidR="00622CDC" w:rsidRPr="00A05F90">
        <w:rPr>
          <w:rFonts w:cs="Arial"/>
          <w:sz w:val="22"/>
          <w:szCs w:val="22"/>
        </w:rPr>
        <w:t xml:space="preserve"> An Equalities Impact Assessment is attached at Appendix 3</w:t>
      </w:r>
      <w:r w:rsidR="00A03F7B" w:rsidRPr="00A05F90">
        <w:rPr>
          <w:rFonts w:cs="Arial"/>
          <w:sz w:val="22"/>
          <w:szCs w:val="22"/>
        </w:rPr>
        <w:t>.</w:t>
      </w:r>
    </w:p>
    <w:p w14:paraId="755607C6" w14:textId="2B9D727E" w:rsidR="00A05F90" w:rsidRPr="00A05F90" w:rsidRDefault="00A05F90" w:rsidP="00A05F90">
      <w:pPr>
        <w:pStyle w:val="ListParagraph"/>
        <w:numPr>
          <w:ilvl w:val="0"/>
          <w:numId w:val="6"/>
        </w:numPr>
        <w:rPr>
          <w:rFonts w:cs="Arial"/>
          <w:sz w:val="22"/>
          <w:szCs w:val="22"/>
        </w:rPr>
      </w:pPr>
      <w:r w:rsidRPr="00A05F90">
        <w:rPr>
          <w:rFonts w:cs="Arial"/>
          <w:sz w:val="22"/>
          <w:szCs w:val="22"/>
        </w:rPr>
        <w:t>When the scheme is published on the Council website we will ensure customers are aware of our translating and interpreting services available.</w:t>
      </w:r>
    </w:p>
    <w:p w14:paraId="17B81607" w14:textId="77777777" w:rsidR="008A506E" w:rsidRPr="00E46AEC" w:rsidRDefault="008A506E" w:rsidP="004A6D2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6AEC" w14:paraId="45A8A9F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C31C4C4" w14:textId="77777777" w:rsidR="00E87F7A" w:rsidRPr="000E4A6E" w:rsidRDefault="00E87F7A" w:rsidP="00A46E98">
            <w:pPr>
              <w:rPr>
                <w:b/>
              </w:rPr>
            </w:pPr>
            <w:r w:rsidRPr="000E4A6E">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C564BD9" w14:textId="77777777" w:rsidR="00E87F7A" w:rsidRPr="000E4A6E" w:rsidRDefault="009E5BC2" w:rsidP="00A46E98">
            <w:r w:rsidRPr="000E4A6E">
              <w:t>Tanya Bandekar</w:t>
            </w:r>
          </w:p>
        </w:tc>
      </w:tr>
      <w:tr w:rsidR="00DF093E" w:rsidRPr="00E46AEC" w14:paraId="7D947B4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28D0C05" w14:textId="77777777" w:rsidR="00E87F7A" w:rsidRPr="000E4A6E" w:rsidRDefault="00E87F7A" w:rsidP="00A46E98">
            <w:r w:rsidRPr="000E4A6E">
              <w:t>Job title</w:t>
            </w:r>
          </w:p>
        </w:tc>
        <w:tc>
          <w:tcPr>
            <w:tcW w:w="4962" w:type="dxa"/>
            <w:tcBorders>
              <w:top w:val="single" w:sz="8" w:space="0" w:color="000000"/>
              <w:left w:val="nil"/>
              <w:bottom w:val="nil"/>
              <w:right w:val="single" w:sz="8" w:space="0" w:color="000000"/>
            </w:tcBorders>
            <w:shd w:val="clear" w:color="auto" w:fill="auto"/>
          </w:tcPr>
          <w:p w14:paraId="28130ADD" w14:textId="77777777" w:rsidR="00E87F7A" w:rsidRPr="000E4A6E" w:rsidRDefault="009E5BC2" w:rsidP="002200E7">
            <w:r w:rsidRPr="000E4A6E">
              <w:t xml:space="preserve">Revenues &amp; Benefits Service </w:t>
            </w:r>
            <w:r w:rsidR="002200E7" w:rsidRPr="000E4A6E">
              <w:t>Manager</w:t>
            </w:r>
          </w:p>
        </w:tc>
      </w:tr>
      <w:tr w:rsidR="00DF093E" w:rsidRPr="00E46AEC" w14:paraId="1C11EA6E" w14:textId="77777777" w:rsidTr="00A46E98">
        <w:trPr>
          <w:cantSplit/>
          <w:trHeight w:val="396"/>
        </w:trPr>
        <w:tc>
          <w:tcPr>
            <w:tcW w:w="3969" w:type="dxa"/>
            <w:tcBorders>
              <w:top w:val="nil"/>
              <w:left w:val="single" w:sz="8" w:space="0" w:color="000000"/>
              <w:bottom w:val="nil"/>
              <w:right w:val="nil"/>
            </w:tcBorders>
            <w:shd w:val="clear" w:color="auto" w:fill="auto"/>
          </w:tcPr>
          <w:p w14:paraId="44494494" w14:textId="77777777" w:rsidR="00E87F7A" w:rsidRPr="000E4A6E" w:rsidRDefault="00E87F7A" w:rsidP="00A46E98">
            <w:r w:rsidRPr="000E4A6E">
              <w:t>Service area or department</w:t>
            </w:r>
          </w:p>
        </w:tc>
        <w:tc>
          <w:tcPr>
            <w:tcW w:w="4962" w:type="dxa"/>
            <w:tcBorders>
              <w:top w:val="nil"/>
              <w:left w:val="nil"/>
              <w:bottom w:val="nil"/>
              <w:right w:val="single" w:sz="8" w:space="0" w:color="000000"/>
            </w:tcBorders>
            <w:shd w:val="clear" w:color="auto" w:fill="auto"/>
          </w:tcPr>
          <w:p w14:paraId="49D8C532" w14:textId="77777777" w:rsidR="00E87F7A" w:rsidRPr="000E4A6E" w:rsidRDefault="009E5BC2" w:rsidP="00A46E98">
            <w:r w:rsidRPr="000E4A6E">
              <w:t>Financial Services</w:t>
            </w:r>
          </w:p>
        </w:tc>
      </w:tr>
      <w:tr w:rsidR="00DF093E" w:rsidRPr="00E46AEC" w14:paraId="370C8479" w14:textId="77777777" w:rsidTr="00A46E98">
        <w:trPr>
          <w:cantSplit/>
          <w:trHeight w:val="396"/>
        </w:trPr>
        <w:tc>
          <w:tcPr>
            <w:tcW w:w="3969" w:type="dxa"/>
            <w:tcBorders>
              <w:top w:val="nil"/>
              <w:left w:val="single" w:sz="8" w:space="0" w:color="000000"/>
              <w:bottom w:val="nil"/>
              <w:right w:val="nil"/>
            </w:tcBorders>
            <w:shd w:val="clear" w:color="auto" w:fill="auto"/>
          </w:tcPr>
          <w:p w14:paraId="765B3A93" w14:textId="77777777" w:rsidR="00E87F7A" w:rsidRPr="000E4A6E" w:rsidRDefault="00E87F7A" w:rsidP="00A46E98">
            <w:r w:rsidRPr="000E4A6E">
              <w:t xml:space="preserve">Telephone </w:t>
            </w:r>
          </w:p>
        </w:tc>
        <w:tc>
          <w:tcPr>
            <w:tcW w:w="4962" w:type="dxa"/>
            <w:tcBorders>
              <w:top w:val="nil"/>
              <w:left w:val="nil"/>
              <w:bottom w:val="nil"/>
              <w:right w:val="single" w:sz="8" w:space="0" w:color="000000"/>
            </w:tcBorders>
            <w:shd w:val="clear" w:color="auto" w:fill="auto"/>
          </w:tcPr>
          <w:p w14:paraId="24E31795" w14:textId="77777777" w:rsidR="00E87F7A" w:rsidRPr="000E4A6E" w:rsidRDefault="00A77DBF" w:rsidP="00A46E98">
            <w:r w:rsidRPr="000E4A6E">
              <w:t>07483 01</w:t>
            </w:r>
            <w:r w:rsidR="009E5BC2" w:rsidRPr="000E4A6E">
              <w:t>1298</w:t>
            </w:r>
          </w:p>
        </w:tc>
      </w:tr>
      <w:tr w:rsidR="005570B5" w:rsidRPr="00E46AEC" w14:paraId="72F2DC5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642EB86" w14:textId="77777777" w:rsidR="00E87F7A" w:rsidRPr="000E4A6E" w:rsidRDefault="00E87F7A" w:rsidP="00A46E98">
            <w:r w:rsidRPr="000E4A6E">
              <w:t xml:space="preserve">e-mail </w:t>
            </w:r>
          </w:p>
        </w:tc>
        <w:tc>
          <w:tcPr>
            <w:tcW w:w="4962" w:type="dxa"/>
            <w:tcBorders>
              <w:top w:val="nil"/>
              <w:left w:val="nil"/>
              <w:bottom w:val="single" w:sz="8" w:space="0" w:color="000000"/>
              <w:right w:val="single" w:sz="8" w:space="0" w:color="000000"/>
            </w:tcBorders>
            <w:shd w:val="clear" w:color="auto" w:fill="auto"/>
          </w:tcPr>
          <w:p w14:paraId="00525E28" w14:textId="77777777" w:rsidR="00E87F7A" w:rsidRPr="000E4A6E" w:rsidRDefault="0006230D" w:rsidP="00A46E98">
            <w:pPr>
              <w:rPr>
                <w:rStyle w:val="Hyperlink"/>
                <w:color w:val="000000"/>
              </w:rPr>
            </w:pPr>
            <w:hyperlink r:id="rId9" w:history="1">
              <w:r w:rsidR="00CB56A0" w:rsidRPr="00E17F5A">
                <w:rPr>
                  <w:rStyle w:val="Hyperlink"/>
                </w:rPr>
                <w:t>tbandekar@oxford.gov.uk</w:t>
              </w:r>
            </w:hyperlink>
          </w:p>
        </w:tc>
      </w:tr>
    </w:tbl>
    <w:p w14:paraId="69FC4EE6" w14:textId="77777777" w:rsidR="00433B96" w:rsidRPr="00E46AEC" w:rsidRDefault="00433B96"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46AEC" w14:paraId="30C5169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F6BAC7E" w14:textId="77777777" w:rsidR="0093067A" w:rsidRPr="008C25F4" w:rsidRDefault="00182B81" w:rsidP="00F41AC1">
            <w:r w:rsidRPr="008C25F4">
              <w:rPr>
                <w:rStyle w:val="Firstpagetablebold"/>
              </w:rPr>
              <w:t xml:space="preserve">Background Papers: </w:t>
            </w:r>
            <w:r w:rsidRPr="008C25F4">
              <w:rPr>
                <w:rStyle w:val="Firstpagetablebold"/>
                <w:b w:val="0"/>
              </w:rPr>
              <w:t>None</w:t>
            </w:r>
          </w:p>
        </w:tc>
      </w:tr>
    </w:tbl>
    <w:p w14:paraId="6BC4B18B" w14:textId="77777777" w:rsidR="00CE4C87" w:rsidRPr="00E46AEC" w:rsidRDefault="00CE4C87" w:rsidP="0093067A">
      <w:pPr>
        <w:rPr>
          <w:highlight w:val="yellow"/>
        </w:rPr>
      </w:pPr>
    </w:p>
    <w:p w14:paraId="58405090" w14:textId="77777777" w:rsidR="00A05F90" w:rsidRDefault="00A05F90" w:rsidP="00C85B4E">
      <w:pPr>
        <w:rPr>
          <w:b/>
        </w:rPr>
      </w:pPr>
    </w:p>
    <w:p w14:paraId="365F7DA1" w14:textId="77777777" w:rsidR="00A05F90" w:rsidRDefault="00A05F90" w:rsidP="00C85B4E">
      <w:pPr>
        <w:rPr>
          <w:b/>
        </w:rPr>
      </w:pPr>
    </w:p>
    <w:p w14:paraId="086350C0" w14:textId="77777777" w:rsidR="00A05F90" w:rsidRDefault="00A05F90" w:rsidP="00C85B4E">
      <w:pPr>
        <w:rPr>
          <w:b/>
        </w:rPr>
      </w:pPr>
    </w:p>
    <w:p w14:paraId="2D12864B" w14:textId="77777777" w:rsidR="00622CDC" w:rsidRPr="00E46AEC" w:rsidRDefault="00622CDC" w:rsidP="00882271">
      <w:pPr>
        <w:ind w:left="7200"/>
        <w:rPr>
          <w:b/>
          <w:sz w:val="28"/>
          <w:szCs w:val="28"/>
          <w:highlight w:val="yellow"/>
        </w:rPr>
      </w:pPr>
    </w:p>
    <w:sectPr w:rsidR="00622CDC" w:rsidRPr="00E46AEC" w:rsidSect="00F4452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F4A3" w14:textId="77777777" w:rsidR="00A70B6A" w:rsidRDefault="00A70B6A" w:rsidP="004A6D2F">
      <w:r>
        <w:separator/>
      </w:r>
    </w:p>
  </w:endnote>
  <w:endnote w:type="continuationSeparator" w:id="0">
    <w:p w14:paraId="2339CF65" w14:textId="77777777" w:rsidR="00A70B6A" w:rsidRDefault="00A70B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2142" w14:textId="77777777" w:rsidR="00A70B6A" w:rsidRDefault="00A70B6A" w:rsidP="004A6D2F">
      <w:r>
        <w:separator/>
      </w:r>
    </w:p>
  </w:footnote>
  <w:footnote w:type="continuationSeparator" w:id="0">
    <w:p w14:paraId="1B56A85B" w14:textId="77777777" w:rsidR="00A70B6A" w:rsidRDefault="00A70B6A"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158CC"/>
    <w:multiLevelType w:val="hybridMultilevel"/>
    <w:tmpl w:val="2B420BCE"/>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8365C6"/>
    <w:multiLevelType w:val="multilevel"/>
    <w:tmpl w:val="E67CE66C"/>
    <w:numStyleLink w:val="StyleNumberedLeft0cmHanging075cm"/>
  </w:abstractNum>
  <w:num w:numId="1">
    <w:abstractNumId w:val="0"/>
  </w:num>
  <w:num w:numId="2">
    <w:abstractNumId w:val="29"/>
  </w:num>
  <w:num w:numId="3">
    <w:abstractNumId w:val="8"/>
  </w:num>
  <w:num w:numId="4">
    <w:abstractNumId w:val="1"/>
  </w:num>
  <w:num w:numId="5">
    <w:abstractNumId w:val="27"/>
  </w:num>
  <w:num w:numId="6">
    <w:abstractNumId w:val="21"/>
  </w:num>
  <w:num w:numId="7">
    <w:abstractNumId w:val="12"/>
  </w:num>
  <w:num w:numId="8">
    <w:abstractNumId w:val="6"/>
  </w:num>
  <w:num w:numId="9">
    <w:abstractNumId w:val="4"/>
  </w:num>
  <w:num w:numId="10">
    <w:abstractNumId w:val="10"/>
  </w:num>
  <w:num w:numId="11">
    <w:abstractNumId w:val="3"/>
  </w:num>
  <w:num w:numId="12">
    <w:abstractNumId w:val="22"/>
  </w:num>
  <w:num w:numId="13">
    <w:abstractNumId w:val="16"/>
  </w:num>
  <w:num w:numId="14">
    <w:abstractNumId w:val="2"/>
  </w:num>
  <w:num w:numId="15">
    <w:abstractNumId w:val="13"/>
  </w:num>
  <w:num w:numId="16">
    <w:abstractNumId w:val="19"/>
  </w:num>
  <w:num w:numId="17">
    <w:abstractNumId w:val="15"/>
  </w:num>
  <w:num w:numId="18">
    <w:abstractNumId w:val="23"/>
  </w:num>
  <w:num w:numId="19">
    <w:abstractNumId w:val="18"/>
  </w:num>
  <w:num w:numId="20">
    <w:abstractNumId w:val="25"/>
  </w:num>
  <w:num w:numId="21">
    <w:abstractNumId w:val="9"/>
  </w:num>
  <w:num w:numId="22">
    <w:abstractNumId w:val="24"/>
  </w:num>
  <w:num w:numId="23">
    <w:abstractNumId w:val="28"/>
  </w:num>
  <w:num w:numId="24">
    <w:abstractNumId w:val="7"/>
  </w:num>
  <w:num w:numId="25">
    <w:abstractNumId w:val="17"/>
  </w:num>
  <w:num w:numId="26">
    <w:abstractNumId w:val="14"/>
  </w:num>
  <w:num w:numId="27">
    <w:abstractNumId w:val="26"/>
  </w:num>
  <w:num w:numId="28">
    <w:abstractNumId w:val="11"/>
  </w:num>
  <w:num w:numId="29">
    <w:abstractNumId w:val="5"/>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1428"/>
    <w:rsid w:val="00052C88"/>
    <w:rsid w:val="00056263"/>
    <w:rsid w:val="0006084B"/>
    <w:rsid w:val="0006230D"/>
    <w:rsid w:val="00064D8A"/>
    <w:rsid w:val="00064F82"/>
    <w:rsid w:val="00066510"/>
    <w:rsid w:val="00077523"/>
    <w:rsid w:val="00082D37"/>
    <w:rsid w:val="0008446D"/>
    <w:rsid w:val="0008659B"/>
    <w:rsid w:val="00093BB2"/>
    <w:rsid w:val="000A5A72"/>
    <w:rsid w:val="000B2FA7"/>
    <w:rsid w:val="000B7684"/>
    <w:rsid w:val="000C089F"/>
    <w:rsid w:val="000C3928"/>
    <w:rsid w:val="000C5E8E"/>
    <w:rsid w:val="000C6C31"/>
    <w:rsid w:val="000E4A6E"/>
    <w:rsid w:val="000E7B15"/>
    <w:rsid w:val="000F4751"/>
    <w:rsid w:val="00103F8B"/>
    <w:rsid w:val="0010524C"/>
    <w:rsid w:val="00106151"/>
    <w:rsid w:val="00111FB1"/>
    <w:rsid w:val="00113418"/>
    <w:rsid w:val="0011463A"/>
    <w:rsid w:val="001263BC"/>
    <w:rsid w:val="001356F1"/>
    <w:rsid w:val="00136277"/>
    <w:rsid w:val="00136994"/>
    <w:rsid w:val="0014128E"/>
    <w:rsid w:val="00151888"/>
    <w:rsid w:val="00161755"/>
    <w:rsid w:val="00161BEF"/>
    <w:rsid w:val="00170A2D"/>
    <w:rsid w:val="001753E0"/>
    <w:rsid w:val="0017685C"/>
    <w:rsid w:val="001808BC"/>
    <w:rsid w:val="0018229A"/>
    <w:rsid w:val="00182B81"/>
    <w:rsid w:val="00185455"/>
    <w:rsid w:val="00185FA5"/>
    <w:rsid w:val="0018619D"/>
    <w:rsid w:val="00193AC0"/>
    <w:rsid w:val="001A011E"/>
    <w:rsid w:val="001A066A"/>
    <w:rsid w:val="001A13E6"/>
    <w:rsid w:val="001A5731"/>
    <w:rsid w:val="001A5BBD"/>
    <w:rsid w:val="001B1361"/>
    <w:rsid w:val="001B42C3"/>
    <w:rsid w:val="001C5D5E"/>
    <w:rsid w:val="001C7159"/>
    <w:rsid w:val="001D006A"/>
    <w:rsid w:val="001D287E"/>
    <w:rsid w:val="001D678D"/>
    <w:rsid w:val="001E0114"/>
    <w:rsid w:val="001E03F8"/>
    <w:rsid w:val="001E1678"/>
    <w:rsid w:val="001E3376"/>
    <w:rsid w:val="001F588F"/>
    <w:rsid w:val="001F7DD1"/>
    <w:rsid w:val="002069B3"/>
    <w:rsid w:val="002200E7"/>
    <w:rsid w:val="00221E30"/>
    <w:rsid w:val="0023170B"/>
    <w:rsid w:val="002324DD"/>
    <w:rsid w:val="002329CF"/>
    <w:rsid w:val="00232F5B"/>
    <w:rsid w:val="0023513C"/>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E0BBC"/>
    <w:rsid w:val="002E306E"/>
    <w:rsid w:val="002F41F2"/>
    <w:rsid w:val="00301BF3"/>
    <w:rsid w:val="0030208D"/>
    <w:rsid w:val="00315617"/>
    <w:rsid w:val="00316ED6"/>
    <w:rsid w:val="00323418"/>
    <w:rsid w:val="00332E59"/>
    <w:rsid w:val="003357BF"/>
    <w:rsid w:val="003540C0"/>
    <w:rsid w:val="00354C9C"/>
    <w:rsid w:val="00364FAD"/>
    <w:rsid w:val="0036738F"/>
    <w:rsid w:val="0036759C"/>
    <w:rsid w:val="00367AE5"/>
    <w:rsid w:val="00367D71"/>
    <w:rsid w:val="00377366"/>
    <w:rsid w:val="0038150A"/>
    <w:rsid w:val="0039019B"/>
    <w:rsid w:val="00390862"/>
    <w:rsid w:val="00392B17"/>
    <w:rsid w:val="00393648"/>
    <w:rsid w:val="00395472"/>
    <w:rsid w:val="00397DB5"/>
    <w:rsid w:val="003B675E"/>
    <w:rsid w:val="003B6E75"/>
    <w:rsid w:val="003B7DA1"/>
    <w:rsid w:val="003D0379"/>
    <w:rsid w:val="003D07CC"/>
    <w:rsid w:val="003D2574"/>
    <w:rsid w:val="003D4C59"/>
    <w:rsid w:val="003F4267"/>
    <w:rsid w:val="00400D8E"/>
    <w:rsid w:val="00402A2C"/>
    <w:rsid w:val="00404032"/>
    <w:rsid w:val="00404919"/>
    <w:rsid w:val="0040736F"/>
    <w:rsid w:val="00412C1F"/>
    <w:rsid w:val="00417898"/>
    <w:rsid w:val="00421CB2"/>
    <w:rsid w:val="00425BC9"/>
    <w:rsid w:val="004268B9"/>
    <w:rsid w:val="00433B96"/>
    <w:rsid w:val="00436C12"/>
    <w:rsid w:val="004440F1"/>
    <w:rsid w:val="004456DD"/>
    <w:rsid w:val="00446CDF"/>
    <w:rsid w:val="004521B7"/>
    <w:rsid w:val="004556B8"/>
    <w:rsid w:val="00460D2B"/>
    <w:rsid w:val="00462AB5"/>
    <w:rsid w:val="00465EAF"/>
    <w:rsid w:val="004738C5"/>
    <w:rsid w:val="00487B4A"/>
    <w:rsid w:val="00490DED"/>
    <w:rsid w:val="00491046"/>
    <w:rsid w:val="004A0BE4"/>
    <w:rsid w:val="004A2AC7"/>
    <w:rsid w:val="004A6D2F"/>
    <w:rsid w:val="004B3B39"/>
    <w:rsid w:val="004C23E3"/>
    <w:rsid w:val="004C2887"/>
    <w:rsid w:val="004C69B8"/>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41FA1"/>
    <w:rsid w:val="00544856"/>
    <w:rsid w:val="0054712D"/>
    <w:rsid w:val="00547EF6"/>
    <w:rsid w:val="005570B5"/>
    <w:rsid w:val="00565E34"/>
    <w:rsid w:val="00567E18"/>
    <w:rsid w:val="005756E0"/>
    <w:rsid w:val="00575F5F"/>
    <w:rsid w:val="00581805"/>
    <w:rsid w:val="00585F76"/>
    <w:rsid w:val="0058636C"/>
    <w:rsid w:val="00592F1B"/>
    <w:rsid w:val="00593C7D"/>
    <w:rsid w:val="00595604"/>
    <w:rsid w:val="005A34E4"/>
    <w:rsid w:val="005B17F2"/>
    <w:rsid w:val="005B7FB0"/>
    <w:rsid w:val="005C35A5"/>
    <w:rsid w:val="005C577C"/>
    <w:rsid w:val="005C6DF0"/>
    <w:rsid w:val="005D0621"/>
    <w:rsid w:val="005D1C58"/>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44567"/>
    <w:rsid w:val="00650811"/>
    <w:rsid w:val="006539C0"/>
    <w:rsid w:val="00657E26"/>
    <w:rsid w:val="00661D3E"/>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708A"/>
    <w:rsid w:val="006E06FE"/>
    <w:rsid w:val="006E14C1"/>
    <w:rsid w:val="006E65EC"/>
    <w:rsid w:val="006F0292"/>
    <w:rsid w:val="006F27FA"/>
    <w:rsid w:val="006F416B"/>
    <w:rsid w:val="006F519B"/>
    <w:rsid w:val="00705D5E"/>
    <w:rsid w:val="00705FA4"/>
    <w:rsid w:val="00713675"/>
    <w:rsid w:val="00715823"/>
    <w:rsid w:val="007203CC"/>
    <w:rsid w:val="00724906"/>
    <w:rsid w:val="00737B93"/>
    <w:rsid w:val="00745BF0"/>
    <w:rsid w:val="007615FE"/>
    <w:rsid w:val="007633F1"/>
    <w:rsid w:val="007635D4"/>
    <w:rsid w:val="0076655C"/>
    <w:rsid w:val="00771C81"/>
    <w:rsid w:val="007742DC"/>
    <w:rsid w:val="00791437"/>
    <w:rsid w:val="007921BC"/>
    <w:rsid w:val="00796ADD"/>
    <w:rsid w:val="007A58DA"/>
    <w:rsid w:val="007B0C2C"/>
    <w:rsid w:val="007B278E"/>
    <w:rsid w:val="007B615F"/>
    <w:rsid w:val="007B6437"/>
    <w:rsid w:val="007C5C23"/>
    <w:rsid w:val="007E2A26"/>
    <w:rsid w:val="007F2348"/>
    <w:rsid w:val="00803F07"/>
    <w:rsid w:val="0080749A"/>
    <w:rsid w:val="00821FB8"/>
    <w:rsid w:val="00822ACD"/>
    <w:rsid w:val="00842B63"/>
    <w:rsid w:val="0085047C"/>
    <w:rsid w:val="0085194F"/>
    <w:rsid w:val="008557AC"/>
    <w:rsid w:val="00855C66"/>
    <w:rsid w:val="00866773"/>
    <w:rsid w:val="00871EE4"/>
    <w:rsid w:val="00874E3F"/>
    <w:rsid w:val="00882271"/>
    <w:rsid w:val="00896E27"/>
    <w:rsid w:val="008A4A35"/>
    <w:rsid w:val="008A506E"/>
    <w:rsid w:val="008A7D27"/>
    <w:rsid w:val="008A7DFF"/>
    <w:rsid w:val="008B293F"/>
    <w:rsid w:val="008B7371"/>
    <w:rsid w:val="008C25F4"/>
    <w:rsid w:val="008C3E84"/>
    <w:rsid w:val="008D158C"/>
    <w:rsid w:val="008D3DDB"/>
    <w:rsid w:val="008F573F"/>
    <w:rsid w:val="009034EC"/>
    <w:rsid w:val="00911086"/>
    <w:rsid w:val="00916E57"/>
    <w:rsid w:val="0092468D"/>
    <w:rsid w:val="0093067A"/>
    <w:rsid w:val="00941C60"/>
    <w:rsid w:val="00944A18"/>
    <w:rsid w:val="00952689"/>
    <w:rsid w:val="0095716D"/>
    <w:rsid w:val="00957A35"/>
    <w:rsid w:val="00966D42"/>
    <w:rsid w:val="00971689"/>
    <w:rsid w:val="00973E90"/>
    <w:rsid w:val="00975B07"/>
    <w:rsid w:val="00980B4A"/>
    <w:rsid w:val="00985B07"/>
    <w:rsid w:val="009933B7"/>
    <w:rsid w:val="0099655B"/>
    <w:rsid w:val="009B62DE"/>
    <w:rsid w:val="009C4452"/>
    <w:rsid w:val="009C5710"/>
    <w:rsid w:val="009D780B"/>
    <w:rsid w:val="009E3D0A"/>
    <w:rsid w:val="009E51FC"/>
    <w:rsid w:val="009E5BC2"/>
    <w:rsid w:val="009F1D28"/>
    <w:rsid w:val="009F2298"/>
    <w:rsid w:val="009F50C5"/>
    <w:rsid w:val="009F7618"/>
    <w:rsid w:val="009F773B"/>
    <w:rsid w:val="00A03F7B"/>
    <w:rsid w:val="00A04D23"/>
    <w:rsid w:val="00A05F90"/>
    <w:rsid w:val="00A06766"/>
    <w:rsid w:val="00A13765"/>
    <w:rsid w:val="00A152DD"/>
    <w:rsid w:val="00A2152E"/>
    <w:rsid w:val="00A21B12"/>
    <w:rsid w:val="00A23F80"/>
    <w:rsid w:val="00A46E98"/>
    <w:rsid w:val="00A5261F"/>
    <w:rsid w:val="00A53EA0"/>
    <w:rsid w:val="00A559B3"/>
    <w:rsid w:val="00A56F7F"/>
    <w:rsid w:val="00A60803"/>
    <w:rsid w:val="00A60E40"/>
    <w:rsid w:val="00A6352B"/>
    <w:rsid w:val="00A65DF6"/>
    <w:rsid w:val="00A701B5"/>
    <w:rsid w:val="00A70B6A"/>
    <w:rsid w:val="00A714BB"/>
    <w:rsid w:val="00A77DBF"/>
    <w:rsid w:val="00A801B8"/>
    <w:rsid w:val="00A8106D"/>
    <w:rsid w:val="00A92D8F"/>
    <w:rsid w:val="00AA0E4A"/>
    <w:rsid w:val="00AA496A"/>
    <w:rsid w:val="00AB2988"/>
    <w:rsid w:val="00AB7999"/>
    <w:rsid w:val="00AC0508"/>
    <w:rsid w:val="00AD3292"/>
    <w:rsid w:val="00AE78CF"/>
    <w:rsid w:val="00AE7AF0"/>
    <w:rsid w:val="00AF654B"/>
    <w:rsid w:val="00B00708"/>
    <w:rsid w:val="00B111EB"/>
    <w:rsid w:val="00B37808"/>
    <w:rsid w:val="00B500CA"/>
    <w:rsid w:val="00B534E1"/>
    <w:rsid w:val="00B5707C"/>
    <w:rsid w:val="00B61E2D"/>
    <w:rsid w:val="00B62552"/>
    <w:rsid w:val="00B70230"/>
    <w:rsid w:val="00B82810"/>
    <w:rsid w:val="00B86314"/>
    <w:rsid w:val="00B93B22"/>
    <w:rsid w:val="00BA1C2E"/>
    <w:rsid w:val="00BA1F15"/>
    <w:rsid w:val="00BA507F"/>
    <w:rsid w:val="00BB2E56"/>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3064D"/>
    <w:rsid w:val="00C3207C"/>
    <w:rsid w:val="00C400E1"/>
    <w:rsid w:val="00C41187"/>
    <w:rsid w:val="00C45294"/>
    <w:rsid w:val="00C55E85"/>
    <w:rsid w:val="00C57241"/>
    <w:rsid w:val="00C63C31"/>
    <w:rsid w:val="00C744A9"/>
    <w:rsid w:val="00C757A0"/>
    <w:rsid w:val="00C760DE"/>
    <w:rsid w:val="00C7749F"/>
    <w:rsid w:val="00C82630"/>
    <w:rsid w:val="00C84BE3"/>
    <w:rsid w:val="00C85B4E"/>
    <w:rsid w:val="00C907F7"/>
    <w:rsid w:val="00CA2103"/>
    <w:rsid w:val="00CB56A0"/>
    <w:rsid w:val="00CB62F1"/>
    <w:rsid w:val="00CB6B99"/>
    <w:rsid w:val="00CC3009"/>
    <w:rsid w:val="00CE4C87"/>
    <w:rsid w:val="00CE544A"/>
    <w:rsid w:val="00D11E1C"/>
    <w:rsid w:val="00D13402"/>
    <w:rsid w:val="00D160B0"/>
    <w:rsid w:val="00D17F94"/>
    <w:rsid w:val="00D223FC"/>
    <w:rsid w:val="00D24256"/>
    <w:rsid w:val="00D26D1E"/>
    <w:rsid w:val="00D43129"/>
    <w:rsid w:val="00D474CF"/>
    <w:rsid w:val="00D52E0C"/>
    <w:rsid w:val="00D53515"/>
    <w:rsid w:val="00D5547E"/>
    <w:rsid w:val="00D56DCB"/>
    <w:rsid w:val="00D572C5"/>
    <w:rsid w:val="00D623D3"/>
    <w:rsid w:val="00D70318"/>
    <w:rsid w:val="00D72AA3"/>
    <w:rsid w:val="00D8450C"/>
    <w:rsid w:val="00D869A1"/>
    <w:rsid w:val="00D96CF5"/>
    <w:rsid w:val="00D97689"/>
    <w:rsid w:val="00DA413F"/>
    <w:rsid w:val="00DA4584"/>
    <w:rsid w:val="00DA614B"/>
    <w:rsid w:val="00DA7624"/>
    <w:rsid w:val="00DB12D4"/>
    <w:rsid w:val="00DC0876"/>
    <w:rsid w:val="00DC3060"/>
    <w:rsid w:val="00DC5161"/>
    <w:rsid w:val="00DC59F9"/>
    <w:rsid w:val="00DD5EFC"/>
    <w:rsid w:val="00DE038E"/>
    <w:rsid w:val="00DE0FB2"/>
    <w:rsid w:val="00DF093E"/>
    <w:rsid w:val="00DF2CE2"/>
    <w:rsid w:val="00E01F42"/>
    <w:rsid w:val="00E04B7C"/>
    <w:rsid w:val="00E11E69"/>
    <w:rsid w:val="00E206D6"/>
    <w:rsid w:val="00E3366E"/>
    <w:rsid w:val="00E46AEC"/>
    <w:rsid w:val="00E52086"/>
    <w:rsid w:val="00E543A6"/>
    <w:rsid w:val="00E60479"/>
    <w:rsid w:val="00E61D73"/>
    <w:rsid w:val="00E73684"/>
    <w:rsid w:val="00E75ACC"/>
    <w:rsid w:val="00E76532"/>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394C"/>
    <w:rsid w:val="00F05ECA"/>
    <w:rsid w:val="00F217E9"/>
    <w:rsid w:val="00F251E6"/>
    <w:rsid w:val="00F31432"/>
    <w:rsid w:val="00F33940"/>
    <w:rsid w:val="00F3519B"/>
    <w:rsid w:val="00F3566E"/>
    <w:rsid w:val="00F375FB"/>
    <w:rsid w:val="00F41AC1"/>
    <w:rsid w:val="00F426E3"/>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95E17"/>
    <w:rsid w:val="00FA0C77"/>
    <w:rsid w:val="00FA624C"/>
    <w:rsid w:val="00FB0F73"/>
    <w:rsid w:val="00FC1ACD"/>
    <w:rsid w:val="00FC29A6"/>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F163E4"/>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701315838">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ndekar@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1AB4-6789-4AEE-8E93-791FFE45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A3EEF178.dotm</Template>
  <TotalTime>9</TotalTime>
  <Pages>7</Pages>
  <Words>3116</Words>
  <Characters>15558</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7</cp:revision>
  <cp:lastPrinted>2015-07-03T13:50:00Z</cp:lastPrinted>
  <dcterms:created xsi:type="dcterms:W3CDTF">2021-01-23T13:36:00Z</dcterms:created>
  <dcterms:modified xsi:type="dcterms:W3CDTF">2021-02-03T15:26:00Z</dcterms:modified>
</cp:coreProperties>
</file>